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97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485900" cy="6159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15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332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5676900" cy="236855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368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64" w:lineRule="auto" w:before="334" w:after="0"/>
        <w:ind w:left="1440" w:right="1584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Good morning!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Large firms are making big bets both on the expansion of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artificial </w:t>
      </w:r>
      <w:r>
        <w:rPr>
          <w:rFonts w:ascii="Cambria" w:hAnsi="Cambria" w:eastAsia="Cambria"/>
          <w:b/>
          <w:i w:val="0"/>
          <w:color w:val="000000"/>
          <w:sz w:val="24"/>
        </w:rPr>
        <w:t>intelligence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the opening of private markets to </w:t>
      </w:r>
      <w:r>
        <w:rPr>
          <w:rFonts w:ascii="Cambria" w:hAnsi="Cambria" w:eastAsia="Cambria"/>
          <w:b/>
          <w:i w:val="0"/>
          <w:color w:val="000000"/>
          <w:sz w:val="24"/>
        </w:rPr>
        <w:t>individual investors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Such long-term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trends are bound to have side effects. </w:t>
      </w:r>
    </w:p>
    <w:p>
      <w:pPr>
        <w:autoSpaceDN w:val="0"/>
        <w:autoSpaceDE w:val="0"/>
        <w:widowControl/>
        <w:spacing w:line="259" w:lineRule="auto" w:before="362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For example, institutional investors have poured capital in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exchange-traded </w:t>
      </w:r>
      <w:r>
        <w:br/>
      </w:r>
      <w:r>
        <w:rPr>
          <w:rFonts w:ascii="Cambria" w:hAnsi="Cambria" w:eastAsia="Cambria"/>
          <w:b/>
          <w:i w:val="0"/>
          <w:color w:val="000000"/>
          <w:sz w:val="24"/>
        </w:rPr>
        <w:t>funds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intended to bring private investments to the masses, our Chris Cumming reports. </w:t>
      </w:r>
    </w:p>
    <w:p>
      <w:pPr>
        <w:autoSpaceDN w:val="0"/>
        <w:autoSpaceDE w:val="0"/>
        <w:widowControl/>
        <w:spacing w:line="257" w:lineRule="auto" w:before="366" w:after="0"/>
        <w:ind w:left="1440" w:right="1872" w:firstLine="0"/>
        <w:jc w:val="center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Meanwhile, investments in </w:t>
      </w:r>
      <w:r>
        <w:rPr>
          <w:rFonts w:ascii="Cambria" w:hAnsi="Cambria" w:eastAsia="Cambria"/>
          <w:b/>
          <w:i w:val="0"/>
          <w:color w:val="000000"/>
          <w:sz w:val="24"/>
        </w:rPr>
        <w:t>AI infrastructure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are lifting large firms' returns, but also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sowing uncertainty in the software sector, my other colleague Maria Armental writes. </w:t>
      </w:r>
    </w:p>
    <w:p>
      <w:pPr>
        <w:autoSpaceDN w:val="0"/>
        <w:autoSpaceDE w:val="0"/>
        <w:widowControl/>
        <w:spacing w:line="264" w:lineRule="auto" w:before="366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And the Journal's Mark Maurer reports that </w:t>
      </w:r>
      <w:r>
        <w:rPr>
          <w:rFonts w:ascii="Cambria" w:hAnsi="Cambria" w:eastAsia="Cambria"/>
          <w:b/>
          <w:i w:val="0"/>
          <w:color w:val="000000"/>
          <w:sz w:val="24"/>
        </w:rPr>
        <w:t>IPOs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by private equity-backed companies have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already surpassed last year's total and amount to the most in five years, with five months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go in 2026. </w:t>
      </w:r>
    </w:p>
    <w:p>
      <w:pPr>
        <w:autoSpaceDN w:val="0"/>
        <w:autoSpaceDE w:val="0"/>
        <w:widowControl/>
        <w:spacing w:line="240" w:lineRule="auto" w:before="366" w:after="0"/>
        <w:ind w:left="1440" w:right="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 xml:space="preserve">Now on to the news... </w:t>
      </w:r>
    </w:p>
    <w:p>
      <w:pPr>
        <w:autoSpaceDN w:val="0"/>
        <w:autoSpaceDE w:val="0"/>
        <w:widowControl/>
        <w:spacing w:line="240" w:lineRule="auto" w:before="2966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67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Today's Top Stories </w:t>
      </w:r>
    </w:p>
    <w:p>
      <w:pPr>
        <w:autoSpaceDN w:val="0"/>
        <w:autoSpaceDE w:val="0"/>
        <w:widowControl/>
        <w:spacing w:line="240" w:lineRule="auto" w:before="39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4343400" cy="31800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80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69" w:lineRule="auto" w:before="376" w:after="0"/>
        <w:ind w:left="1440" w:right="144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Exchange-traded funds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that aim to bring </w:t>
      </w:r>
      <w:r>
        <w:rPr>
          <w:rFonts w:ascii="Cambria" w:hAnsi="Cambria" w:eastAsia="Cambria"/>
          <w:b/>
          <w:i w:val="0"/>
          <w:color w:val="000000"/>
          <w:sz w:val="24"/>
        </w:rPr>
        <w:t>private investments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to the masses have </w:t>
      </w:r>
      <w:r>
        <w:rPr>
          <w:rFonts w:ascii="Cambria" w:hAnsi="Cambria" w:eastAsia="Cambria"/>
          <w:b w:val="0"/>
          <w:i w:val="0"/>
          <w:color w:val="000000"/>
          <w:sz w:val="24"/>
        </w:rPr>
        <w:t>encountered a hitch: Institutional money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3" w:history="1">
          <w:r>
            <w:rPr>
              <w:rStyle w:val="Hyperlink"/>
            </w:rPr>
            <w:t>is overwhelming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mom-and-pop savers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funds are designed to serve, Chris Cumming writes for WSJ Pro. Since early last year,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investment firms have gathered billions of dollars for ETFs that combine public and private </w:t>
      </w:r>
      <w:r>
        <w:rPr>
          <w:rFonts w:ascii="Cambria" w:hAnsi="Cambria" w:eastAsia="Cambria"/>
          <w:b w:val="0"/>
          <w:i w:val="0"/>
          <w:color w:val="000000"/>
          <w:sz w:val="24"/>
        </w:rPr>
        <w:t>assets, a new breed of vehicles on the cutting edge of Wall Street’s—and the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4" w:history="1">
          <w:r>
            <w:rPr>
              <w:rStyle w:val="Hyperlink"/>
            </w:rPr>
            <w:t>Trump</w:t>
          </w:r>
        </w:hyperlink>
      </w:r>
      <w:r>
        <w:rPr>
          <w:rFonts w:ascii="Cambria" w:hAnsi="Cambria" w:eastAsia="Cambria"/>
          <w:b w:val="0"/>
          <w:i w:val="0"/>
          <w:color w:val="0000FF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4" w:history="1">
          <w:r>
            <w:rPr>
              <w:rStyle w:val="Hyperlink"/>
            </w:rPr>
            <w:t>administration’s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>—push to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5" w:history="1">
          <w:r>
            <w:rPr>
              <w:rStyle w:val="Hyperlink"/>
            </w:rPr>
            <w:t>attract ordinary people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>to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private markets. </w:t>
      </w:r>
    </w:p>
    <w:p>
      <w:pPr>
        <w:autoSpaceDN w:val="0"/>
        <w:autoSpaceDE w:val="0"/>
        <w:widowControl/>
        <w:spacing w:line="269" w:lineRule="auto" w:before="368" w:after="0"/>
        <w:ind w:left="1440" w:right="144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Artificial intelligence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6" w:history="1">
          <w:r>
            <w:rPr>
              <w:rStyle w:val="Hyperlink"/>
            </w:rPr>
            <w:t>is turbocharging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how private-equity firms do business—and with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whom, WSJ Pro's Maria Armental writes. The latest </w:t>
      </w:r>
      <w:r>
        <w:rPr>
          <w:rFonts w:ascii="Cambria" w:hAnsi="Cambria" w:eastAsia="Cambria"/>
          <w:b/>
          <w:i w:val="0"/>
          <w:color w:val="000000"/>
          <w:sz w:val="24"/>
        </w:rPr>
        <w:t>quarterly earnings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reports from big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publicly traded firms showed the extent to which AI now drives financial performance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has turned former rivalries into technological collaborations, including multibillion-dollar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ventures with leading AI startups </w:t>
      </w:r>
      <w:r>
        <w:rPr>
          <w:rFonts w:ascii="Cambria" w:hAnsi="Cambria" w:eastAsia="Cambria"/>
          <w:b/>
          <w:i w:val="0"/>
          <w:color w:val="000000"/>
          <w:sz w:val="24"/>
        </w:rPr>
        <w:t>OpenAI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</w:t>
      </w:r>
      <w:r>
        <w:rPr>
          <w:rFonts w:ascii="Cambria" w:hAnsi="Cambria" w:eastAsia="Cambria"/>
          <w:b/>
          <w:i w:val="0"/>
          <w:color w:val="000000"/>
          <w:sz w:val="24"/>
        </w:rPr>
        <w:t>Anthropic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</w:t>
      </w:r>
    </w:p>
    <w:p>
      <w:pPr>
        <w:autoSpaceDN w:val="0"/>
        <w:autoSpaceDE w:val="0"/>
        <w:widowControl/>
        <w:spacing w:line="269" w:lineRule="auto" w:before="36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>Private-equity firms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7" w:history="1">
          <w:r>
            <w:rPr>
              <w:rStyle w:val="Hyperlink"/>
            </w:rPr>
            <w:t>are lining up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to take companies public as pressure to return capital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fund investors continues to mount, Mark Mauer writes for The Wall Street Journal. There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have been 21 U.S.-listed IPOs of private equity-backed companies this year through Aug. 5,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most since 2021, according to </w:t>
      </w:r>
      <w:r>
        <w:rPr>
          <w:rFonts w:ascii="Cambria" w:hAnsi="Cambria" w:eastAsia="Cambria"/>
          <w:b/>
          <w:i w:val="0"/>
          <w:color w:val="000000"/>
          <w:sz w:val="24"/>
        </w:rPr>
        <w:t>Dealogic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That compares with 20 in all of 2025 and 16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year before. </w:t>
      </w:r>
      <w:r>
        <w:rPr>
          <w:rFonts w:ascii="Cambria" w:hAnsi="Cambria" w:eastAsia="Cambria"/>
          <w:b/>
          <w:i w:val="0"/>
          <w:color w:val="000000"/>
          <w:sz w:val="24"/>
        </w:rPr>
        <w:t>Blackstone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President Jonathan Gray declared 2026 the “year of the IPO”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on an earnings call earlier this year. </w:t>
      </w:r>
    </w:p>
    <w:p>
      <w:pPr>
        <w:autoSpaceDN w:val="0"/>
        <w:autoSpaceDE w:val="0"/>
        <w:widowControl/>
        <w:spacing w:line="240" w:lineRule="auto" w:before="10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67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Big Number </w:t>
      </w:r>
    </w:p>
    <w:p>
      <w:pPr>
        <w:autoSpaceDN w:val="0"/>
        <w:autoSpaceDE w:val="0"/>
        <w:widowControl/>
        <w:spacing w:line="240" w:lineRule="auto" w:before="396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5168900" cy="164465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644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1310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Deals </w:t>
      </w:r>
    </w:p>
    <w:p>
      <w:pPr>
        <w:autoSpaceDN w:val="0"/>
        <w:autoSpaceDE w:val="0"/>
        <w:widowControl/>
        <w:spacing w:line="240" w:lineRule="auto" w:before="390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245100" cy="390525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905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678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9" w:lineRule="auto" w:before="978" w:after="0"/>
        <w:ind w:left="1440" w:right="144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Atreides Management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</w:t>
      </w:r>
      <w:r>
        <w:rPr>
          <w:rFonts w:ascii="Cambria" w:hAnsi="Cambria" w:eastAsia="Cambria"/>
          <w:b/>
          <w:i w:val="0"/>
          <w:color w:val="000000"/>
          <w:sz w:val="24"/>
        </w:rPr>
        <w:t>Bain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</w:t>
      </w:r>
      <w:r>
        <w:rPr>
          <w:rFonts w:ascii="Cambria" w:hAnsi="Cambria" w:eastAsia="Cambria"/>
          <w:b/>
          <w:i w:val="0"/>
          <w:color w:val="000000"/>
          <w:sz w:val="24"/>
        </w:rPr>
        <w:t>Spark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were among the leaders in a </w:t>
      </w:r>
      <w:r>
        <w:rPr>
          <w:rFonts w:ascii="Cambria" w:hAnsi="Cambria" w:eastAsia="Cambria"/>
          <w:b w:val="0"/>
          <w:i w:val="0"/>
          <w:color w:val="000000"/>
          <w:sz w:val="24"/>
        </w:rPr>
        <w:t>growth investment of more than $700 million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0" w:history="1">
          <w:r>
            <w:rPr>
              <w:rStyle w:val="Hyperlink"/>
            </w:rPr>
            <w:t>backing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optical-interconnection technology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startup </w:t>
      </w:r>
      <w:r>
        <w:rPr>
          <w:rFonts w:ascii="Cambria" w:hAnsi="Cambria" w:eastAsia="Cambria"/>
          <w:b/>
          <w:i w:val="0"/>
          <w:color w:val="000000"/>
          <w:sz w:val="24"/>
        </w:rPr>
        <w:t>Lumilens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 a deal that valued the data center-focused company at $5.5 billion,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Anissa Gardizy reports for the Journal. The San Jose, Calif.-based company's products are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used to link artificial-intelligence chips using light instead of electricity. </w:t>
      </w:r>
    </w:p>
    <w:p>
      <w:pPr>
        <w:autoSpaceDN w:val="0"/>
        <w:autoSpaceDE w:val="0"/>
        <w:widowControl/>
        <w:spacing w:line="269" w:lineRule="auto" w:before="36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Buyout firm </w:t>
      </w:r>
      <w:r>
        <w:rPr>
          <w:rFonts w:ascii="Cambria" w:hAnsi="Cambria" w:eastAsia="Cambria"/>
          <w:b/>
          <w:i w:val="0"/>
          <w:color w:val="000000"/>
          <w:sz w:val="24"/>
        </w:rPr>
        <w:t>KKR &amp; Co.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1" w:history="1">
          <w:r>
            <w:rPr>
              <w:rStyle w:val="Hyperlink"/>
            </w:rPr>
            <w:t>has closed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its nearly $3 billion investment supporting accounting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firm </w:t>
      </w:r>
      <w:r>
        <w:rPr>
          <w:rFonts w:ascii="Cambria" w:hAnsi="Cambria" w:eastAsia="Cambria"/>
          <w:b/>
          <w:i w:val="0"/>
          <w:color w:val="000000"/>
          <w:sz w:val="24"/>
        </w:rPr>
        <w:t>Crowe</w:t>
      </w:r>
      <w:r>
        <w:rPr>
          <w:rFonts w:ascii="Cambria" w:hAnsi="Cambria" w:eastAsia="Cambria"/>
          <w:b w:val="0"/>
          <w:i w:val="0"/>
          <w:color w:val="000000"/>
          <w:sz w:val="24"/>
        </w:rPr>
        <w:t>,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2" w:history="1">
          <w:r>
            <w:rPr>
              <w:rStyle w:val="Hyperlink"/>
            </w:rPr>
            <w:t>taking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majority stake in </w:t>
      </w:r>
      <w:r>
        <w:rPr>
          <w:rFonts w:ascii="Cambria" w:hAnsi="Cambria" w:eastAsia="Cambria"/>
          <w:b/>
          <w:i w:val="0"/>
          <w:color w:val="000000"/>
          <w:sz w:val="24"/>
        </w:rPr>
        <w:t>Crowe Advisory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the business unit that provides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nonattest services such as tax and other consultations. Chicago-based Crowe specializes in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working with midmarket businesses and the licensed certified public accounting firm will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continue to provide audit and other services alongside Crowe Advisory. </w:t>
      </w:r>
    </w:p>
    <w:p>
      <w:pPr>
        <w:autoSpaceDN w:val="0"/>
        <w:autoSpaceDE w:val="0"/>
        <w:widowControl/>
        <w:spacing w:line="269" w:lineRule="auto" w:before="36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Infrastructure investor </w:t>
      </w:r>
      <w:r>
        <w:rPr>
          <w:rFonts w:ascii="Cambria" w:hAnsi="Cambria" w:eastAsia="Cambria"/>
          <w:b/>
          <w:i w:val="0"/>
          <w:color w:val="000000"/>
          <w:sz w:val="24"/>
        </w:rPr>
        <w:t>I Squared Capital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3" w:history="1">
          <w:r>
            <w:rPr>
              <w:rStyle w:val="Hyperlink"/>
            </w:rPr>
            <w:t>has prevailed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over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Oaktree Capital </w:t>
      </w:r>
      <w:r>
        <w:br/>
      </w:r>
      <w:r>
        <w:rPr>
          <w:rFonts w:ascii="Cambria" w:hAnsi="Cambria" w:eastAsia="Cambria"/>
          <w:b/>
          <w:i w:val="0"/>
          <w:color w:val="000000"/>
          <w:sz w:val="24"/>
        </w:rPr>
        <w:t>Management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</w:t>
      </w:r>
      <w:r>
        <w:rPr>
          <w:rFonts w:ascii="Cambria" w:hAnsi="Cambria" w:eastAsia="Cambria"/>
          <w:b/>
          <w:i w:val="0"/>
          <w:color w:val="000000"/>
          <w:sz w:val="24"/>
        </w:rPr>
        <w:t>Pacific Equity Partners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 the bidding for public space advertising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company </w:t>
      </w:r>
      <w:r>
        <w:rPr>
          <w:rFonts w:ascii="Cambria" w:hAnsi="Cambria" w:eastAsia="Cambria"/>
          <w:b/>
          <w:i w:val="0"/>
          <w:color w:val="000000"/>
          <w:sz w:val="24"/>
        </w:rPr>
        <w:t>OOh!Media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Australia's Financial Review reports, citing people it didn't name. I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Squared raised its offer to 1.70 Australian dollars per share, equivalent to $1.20. Last </w:t>
      </w:r>
      <w:r>
        <w:rPr>
          <w:rFonts w:ascii="Cambria" w:hAnsi="Cambria" w:eastAsia="Cambria"/>
          <w:b w:val="0"/>
          <w:i w:val="0"/>
          <w:color w:val="000000"/>
          <w:sz w:val="24"/>
        </w:rPr>
        <w:t>month the company reported that bids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4" w:history="1">
          <w:r>
            <w:rPr>
              <w:rStyle w:val="Hyperlink"/>
            </w:rPr>
            <w:t>entered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as of June 15 had reached A$1.65. </w:t>
      </w:r>
    </w:p>
    <w:p>
      <w:pPr>
        <w:autoSpaceDN w:val="0"/>
        <w:autoSpaceDE w:val="0"/>
        <w:widowControl/>
        <w:spacing w:line="266" w:lineRule="auto" w:before="36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>A roughly $2.71 billion deal to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5" w:history="1">
          <w:r>
            <w:rPr>
              <w:rStyle w:val="Hyperlink"/>
            </w:rPr>
            <w:t>take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private Canadian renewable energy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company </w:t>
      </w:r>
      <w:r>
        <w:rPr>
          <w:rFonts w:ascii="Cambria" w:hAnsi="Cambria" w:eastAsia="Cambria"/>
          <w:b/>
          <w:i w:val="0"/>
          <w:color w:val="000000"/>
          <w:sz w:val="24"/>
        </w:rPr>
        <w:t>Boralex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by </w:t>
      </w:r>
      <w:r>
        <w:rPr>
          <w:rFonts w:ascii="Cambria" w:hAnsi="Cambria" w:eastAsia="Cambria"/>
          <w:b/>
          <w:i w:val="0"/>
          <w:color w:val="000000"/>
          <w:sz w:val="24"/>
        </w:rPr>
        <w:t>Brookfield Asset Management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Caisse de Depot et Placement </w:t>
      </w:r>
      <w:r>
        <w:rPr>
          <w:rFonts w:ascii="Cambria" w:hAnsi="Cambria" w:eastAsia="Cambria"/>
          <w:b/>
          <w:i w:val="0"/>
          <w:color w:val="000000"/>
          <w:sz w:val="24"/>
        </w:rPr>
        <w:t>du Quebec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6" w:history="1">
          <w:r>
            <w:rPr>
              <w:rStyle w:val="Hyperlink"/>
            </w:rPr>
            <w:t>has surmounted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all regulatory hurdles and is expected to wrap up by Friday,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company said. </w:t>
      </w:r>
    </w:p>
    <w:p>
      <w:pPr>
        <w:autoSpaceDN w:val="0"/>
        <w:autoSpaceDE w:val="0"/>
        <w:widowControl/>
        <w:spacing w:line="266" w:lineRule="auto" w:before="368" w:after="0"/>
        <w:ind w:left="1440" w:right="1296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Redfearn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led a $628 million acquisition of a collection of 53 industrial properties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with </w:t>
      </w:r>
      <w:r>
        <w:rPr>
          <w:rFonts w:ascii="Cambria" w:hAnsi="Cambria" w:eastAsia="Cambria"/>
          <w:b/>
          <w:i w:val="0"/>
          <w:color w:val="000000"/>
          <w:sz w:val="24"/>
        </w:rPr>
        <w:t>TPG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's real-estate arm investing alongside, according to an emailed news release.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partners acquired the holdings from </w:t>
      </w:r>
      <w:r>
        <w:rPr>
          <w:rFonts w:ascii="Cambria" w:hAnsi="Cambria" w:eastAsia="Cambria"/>
          <w:b/>
          <w:i w:val="0"/>
          <w:color w:val="000000"/>
          <w:sz w:val="24"/>
        </w:rPr>
        <w:t>DRA Advisors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a real-estate investment fund manager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 New York, according to a Redfearn spokeswoman. </w:t>
      </w:r>
    </w:p>
    <w:p>
      <w:pPr>
        <w:autoSpaceDN w:val="0"/>
        <w:autoSpaceDE w:val="0"/>
        <w:widowControl/>
        <w:spacing w:line="264" w:lineRule="auto" w:before="368" w:after="0"/>
        <w:ind w:left="1440" w:right="144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Altair Industries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a private-equity firm focused on midmarket deals across the aerospace,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defense and mission-critical industrial sectors,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7" w:history="1">
          <w:r>
            <w:rPr>
              <w:rStyle w:val="Hyperlink"/>
            </w:rPr>
            <w:t>has acquired</w:t>
          </w:r>
        </w:hyperlink>
      </w:r>
      <w:r>
        <w:rPr>
          <w:rFonts w:ascii="Cambria" w:hAnsi="Cambria" w:eastAsia="Cambria"/>
          <w:b/>
          <w:i w:val="0"/>
          <w:color w:val="000000"/>
          <w:sz w:val="24"/>
        </w:rPr>
        <w:t>Central Wire Industries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which manufactures specialty alloy wire and cable products. </w:t>
      </w:r>
    </w:p>
    <w:p>
      <w:pPr>
        <w:autoSpaceDN w:val="0"/>
        <w:autoSpaceDE w:val="0"/>
        <w:widowControl/>
        <w:spacing w:line="264" w:lineRule="auto" w:before="366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Midmarket investor </w:t>
      </w:r>
      <w:r>
        <w:rPr>
          <w:rFonts w:ascii="Cambria" w:hAnsi="Cambria" w:eastAsia="Cambria"/>
          <w:b/>
          <w:i w:val="0"/>
          <w:color w:val="000000"/>
          <w:sz w:val="24"/>
        </w:rPr>
        <w:t>Triton Partners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8" w:history="1">
          <w:r>
            <w:rPr>
              <w:rStyle w:val="Hyperlink"/>
            </w:rPr>
            <w:t>has agreed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to acquire German manufacturer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United </w:t>
      </w:r>
      <w:r>
        <w:rPr>
          <w:rFonts w:ascii="Cambria" w:hAnsi="Cambria" w:eastAsia="Cambria"/>
          <w:b/>
          <w:i w:val="0"/>
          <w:color w:val="000000"/>
          <w:sz w:val="24"/>
        </w:rPr>
        <w:t>Initiators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from </w:t>
      </w:r>
      <w:r>
        <w:rPr>
          <w:rFonts w:ascii="Cambria" w:hAnsi="Cambria" w:eastAsia="Cambria"/>
          <w:b/>
          <w:i w:val="0"/>
          <w:color w:val="000000"/>
          <w:sz w:val="24"/>
        </w:rPr>
        <w:t>Equistone Partners Europe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The specialty chemicals maker's active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oxygen products are used to trigger polymerisation and for their oxidation potential. </w:t>
      </w:r>
    </w:p>
    <w:p>
      <w:pPr>
        <w:autoSpaceDN w:val="0"/>
        <w:autoSpaceDE w:val="0"/>
        <w:widowControl/>
        <w:spacing w:line="259" w:lineRule="auto" w:before="40" w:after="0"/>
        <w:ind w:left="1440" w:right="230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United has more than 800 employees working in nine plants and two warehouses </w:t>
      </w:r>
      <w:r>
        <w:rPr>
          <w:rFonts w:ascii="Cambria" w:hAnsi="Cambria" w:eastAsia="Cambria"/>
          <w:b w:val="0"/>
          <w:i w:val="0"/>
          <w:color w:val="000000"/>
          <w:sz w:val="24"/>
        </w:rPr>
        <w:t>worldwide. Equistone first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29" w:history="1">
          <w:r>
            <w:rPr>
              <w:rStyle w:val="Hyperlink"/>
            </w:rPr>
            <w:t>backed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business in 2016. </w:t>
      </w:r>
    </w:p>
    <w:p>
      <w:pPr>
        <w:autoSpaceDN w:val="0"/>
        <w:autoSpaceDE w:val="0"/>
        <w:widowControl/>
        <w:spacing w:line="259" w:lineRule="auto" w:before="362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New York-based firm </w:t>
      </w:r>
      <w:r>
        <w:rPr>
          <w:rFonts w:ascii="Cambria" w:hAnsi="Cambria" w:eastAsia="Cambria"/>
          <w:b/>
          <w:i w:val="0"/>
          <w:color w:val="000000"/>
          <w:sz w:val="24"/>
        </w:rPr>
        <w:t>MFG Partners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0" w:history="1">
          <w:r>
            <w:rPr>
              <w:rStyle w:val="Hyperlink"/>
            </w:rPr>
            <w:t>has backed</w:t>
          </w:r>
        </w:hyperlink>
      </w:r>
      <w:r>
        <w:rPr>
          <w:rFonts w:ascii="Cambria" w:hAnsi="Cambria" w:eastAsia="Cambria"/>
          <w:b/>
          <w:i w:val="0"/>
          <w:color w:val="000000"/>
          <w:sz w:val="24"/>
        </w:rPr>
        <w:t>United Group Services</w:t>
      </w:r>
      <w:r>
        <w:rPr>
          <w:rFonts w:ascii="Cambria" w:hAnsi="Cambria" w:eastAsia="Cambria"/>
          <w:b w:val="0"/>
          <w:i w:val="0"/>
          <w:color w:val="000000"/>
          <w:sz w:val="24"/>
        </w:rPr>
        <w:t>, a Cincinnati-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based provider of construction, retrofit and maintenance services that include industrial </w:t>
      </w:r>
    </w:p>
    <w:p>
      <w:pPr>
        <w:autoSpaceDN w:val="0"/>
        <w:autoSpaceDE w:val="0"/>
        <w:widowControl/>
        <w:spacing w:line="240" w:lineRule="auto" w:before="238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7" w:lineRule="auto" w:before="978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piping, rigging, millwright, structural steel, insulation and scaffolding, as well as heating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and cooling systems, among other services. </w:t>
      </w:r>
    </w:p>
    <w:p>
      <w:pPr>
        <w:autoSpaceDN w:val="0"/>
        <w:autoSpaceDE w:val="0"/>
        <w:widowControl/>
        <w:spacing w:line="266" w:lineRule="auto" w:before="366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property investment arm of </w:t>
      </w:r>
      <w:r>
        <w:rPr>
          <w:rFonts w:ascii="Cambria" w:hAnsi="Cambria" w:eastAsia="Cambria"/>
          <w:b/>
          <w:i w:val="0"/>
          <w:color w:val="000000"/>
          <w:sz w:val="24"/>
        </w:rPr>
        <w:t>TPG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1" w:history="1">
          <w:r>
            <w:rPr>
              <w:rStyle w:val="Hyperlink"/>
            </w:rPr>
            <w:t>is bringing in</w:t>
          </w:r>
        </w:hyperlink>
      </w:r>
      <w:r>
        <w:rPr>
          <w:rFonts w:ascii="Cambria" w:hAnsi="Cambria" w:eastAsia="Cambria"/>
          <w:b/>
          <w:i w:val="0"/>
          <w:color w:val="000000"/>
          <w:sz w:val="24"/>
        </w:rPr>
        <w:t>Madison International Realty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as 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minority partner in German student housing developer and manager </w:t>
      </w:r>
      <w:r>
        <w:rPr>
          <w:rFonts w:ascii="Cambria" w:hAnsi="Cambria" w:eastAsia="Cambria"/>
          <w:b/>
          <w:i w:val="0"/>
          <w:color w:val="000000"/>
          <w:sz w:val="24"/>
        </w:rPr>
        <w:t>Home &amp; Co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TPG Real </w:t>
      </w:r>
      <w:r>
        <w:rPr>
          <w:rFonts w:ascii="Cambria" w:hAnsi="Cambria" w:eastAsia="Cambria"/>
          <w:b w:val="0"/>
          <w:i w:val="0"/>
          <w:color w:val="000000"/>
          <w:sz w:val="24"/>
        </w:rPr>
        <w:t>Estate Partners is retaining majority ownership of the company, which it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2" w:history="1">
          <w:r>
            <w:rPr>
              <w:rStyle w:val="Hyperlink"/>
            </w:rPr>
            <w:t>has backed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since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its inception in 2019. </w:t>
      </w:r>
    </w:p>
    <w:p>
      <w:pPr>
        <w:autoSpaceDN w:val="0"/>
        <w:autoSpaceDE w:val="0"/>
        <w:widowControl/>
        <w:spacing w:line="264" w:lineRule="auto" w:before="36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asset-management arm of </w:t>
      </w:r>
      <w:r>
        <w:rPr>
          <w:rFonts w:ascii="Cambria" w:hAnsi="Cambria" w:eastAsia="Cambria"/>
          <w:b/>
          <w:i w:val="0"/>
          <w:color w:val="000000"/>
          <w:sz w:val="24"/>
        </w:rPr>
        <w:t>Macquarie Group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 Sydney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3" w:history="1">
          <w:r>
            <w:rPr>
              <w:rStyle w:val="Hyperlink"/>
            </w:rPr>
            <w:t>has acquired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more than 8,700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wireless telecommunications tower sites in Brazil and 250 more in Colombia from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IHS </w:t>
      </w:r>
      <w:r>
        <w:rPr>
          <w:rFonts w:ascii="Cambria" w:hAnsi="Cambria" w:eastAsia="Cambria"/>
          <w:b/>
          <w:i w:val="0"/>
          <w:color w:val="000000"/>
          <w:sz w:val="24"/>
        </w:rPr>
        <w:t>Holding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closing a roughly $683 million leveraged deal announced in February. </w:t>
      </w:r>
    </w:p>
    <w:p>
      <w:pPr>
        <w:autoSpaceDN w:val="0"/>
        <w:autoSpaceDE w:val="0"/>
        <w:widowControl/>
        <w:spacing w:line="269" w:lineRule="auto" w:before="36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Investor and operator </w:t>
      </w:r>
      <w:r>
        <w:rPr>
          <w:rFonts w:ascii="Cambria" w:hAnsi="Cambria" w:eastAsia="Cambria"/>
          <w:b/>
          <w:i w:val="0"/>
          <w:color w:val="000000"/>
          <w:sz w:val="24"/>
        </w:rPr>
        <w:t>LS Power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4" w:history="1">
          <w:r>
            <w:rPr>
              <w:rStyle w:val="Hyperlink"/>
            </w:rPr>
            <w:t>agreed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to buy a 606-megawatt natural gas-fired plant in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Texas, the Brazos Valley Energy Center, from </w:t>
      </w:r>
      <w:r>
        <w:rPr>
          <w:rFonts w:ascii="Cambria" w:hAnsi="Cambria" w:eastAsia="Cambria"/>
          <w:b/>
          <w:i w:val="0"/>
          <w:color w:val="000000"/>
          <w:sz w:val="24"/>
        </w:rPr>
        <w:t>Constellation Energy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which is selling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>plant to meet regulatory requirements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5" w:history="1">
          <w:r>
            <w:rPr>
              <w:rStyle w:val="Hyperlink"/>
            </w:rPr>
            <w:t>tied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to its acquisition of power plant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operator </w:t>
      </w:r>
      <w:r>
        <w:rPr>
          <w:rFonts w:ascii="Cambria" w:hAnsi="Cambria" w:eastAsia="Cambria"/>
          <w:b/>
          <w:i w:val="0"/>
          <w:color w:val="000000"/>
          <w:sz w:val="24"/>
        </w:rPr>
        <w:t>Calpine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early this year. The Brazos Valley generating station is located near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Houston. </w:t>
      </w:r>
    </w:p>
    <w:p>
      <w:pPr>
        <w:autoSpaceDN w:val="0"/>
        <w:autoSpaceDE w:val="0"/>
        <w:widowControl/>
        <w:spacing w:line="269" w:lineRule="auto" w:before="36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Indonesia sovereign-wealth fund </w:t>
      </w:r>
      <w:r>
        <w:rPr>
          <w:rFonts w:ascii="Cambria" w:hAnsi="Cambria" w:eastAsia="Cambria"/>
          <w:b/>
          <w:i w:val="0"/>
          <w:color w:val="000000"/>
          <w:sz w:val="24"/>
        </w:rPr>
        <w:t>Danantara Investment Management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6" w:history="1">
          <w:r>
            <w:rPr>
              <w:rStyle w:val="Hyperlink"/>
            </w:rPr>
            <w:t>is investing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$2.5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billion for a 25% interest in a joint venture established with Brazilian meatpacker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JBS </w:t>
      </w:r>
      <w:r>
        <w:rPr>
          <w:rFonts w:ascii="Cambria" w:hAnsi="Cambria" w:eastAsia="Cambria"/>
          <w:b/>
          <w:i w:val="0"/>
          <w:color w:val="000000"/>
          <w:sz w:val="24"/>
        </w:rPr>
        <w:t>Group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The venture oversees JBS operations in Australia and New Zealand. An additional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$2.5 billion in investment capacity may be provided to the joint venture to fund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acquisitions and expansion including in Indonesia and Southeast Asia, Danantara said. </w:t>
      </w:r>
    </w:p>
    <w:p>
      <w:pPr>
        <w:autoSpaceDN w:val="0"/>
        <w:autoSpaceDE w:val="0"/>
        <w:widowControl/>
        <w:spacing w:line="262" w:lineRule="auto" w:before="368" w:after="0"/>
        <w:ind w:left="1440" w:right="1296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Thoma Bravo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7" w:history="1">
          <w:r>
            <w:rPr>
              <w:rStyle w:val="Hyperlink"/>
            </w:rPr>
            <w:t>won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final court approval in Ontario for its roughly $463.8 million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acquisition of Toronto-listed </w:t>
      </w:r>
      <w:r>
        <w:rPr>
          <w:rFonts w:ascii="Cambria" w:hAnsi="Cambria" w:eastAsia="Cambria"/>
          <w:b/>
          <w:i w:val="0"/>
          <w:color w:val="000000"/>
          <w:sz w:val="24"/>
        </w:rPr>
        <w:t>Kneat.com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expects to close the take-private Tuesday.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Ireland-based software maker announced the deal in June. </w:t>
      </w:r>
    </w:p>
    <w:p>
      <w:pPr>
        <w:autoSpaceDN w:val="0"/>
        <w:autoSpaceDE w:val="0"/>
        <w:widowControl/>
        <w:spacing w:line="240" w:lineRule="auto" w:before="445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67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Add-On Deals </w:t>
      </w:r>
    </w:p>
    <w:p>
      <w:pPr>
        <w:autoSpaceDN w:val="0"/>
        <w:autoSpaceDE w:val="0"/>
        <w:widowControl/>
        <w:spacing w:line="240" w:lineRule="auto" w:before="394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219700" cy="290195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901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57" w:lineRule="auto" w:before="372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Our add-on deal interactive tool allows you to sort and analyze volumes of add-on deal data </w:t>
      </w:r>
      <w:r>
        <w:rPr>
          <w:rFonts w:ascii="Cambria" w:hAnsi="Cambria" w:eastAsia="Cambria"/>
          <w:b w:val="0"/>
          <w:i w:val="0"/>
          <w:color w:val="000000"/>
          <w:sz w:val="24"/>
        </w:rPr>
        <w:t>compiled by WSJ Pro.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39" w:history="1">
          <w:r>
            <w:rPr>
              <w:rStyle w:val="Hyperlink"/>
            </w:rPr>
            <w:t>View more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39" w:history="1">
          <w:r>
            <w:rPr>
              <w:rStyle w:val="Hyperlink"/>
            </w:rPr>
            <w:t>.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106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Exits </w:t>
      </w:r>
    </w:p>
    <w:p>
      <w:pPr>
        <w:autoSpaceDN w:val="0"/>
        <w:autoSpaceDE w:val="0"/>
        <w:widowControl/>
        <w:spacing w:line="271" w:lineRule="auto" w:before="400" w:after="0"/>
        <w:ind w:left="1440" w:right="144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Providence Equity Partners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-backed analytics software supplier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DoubleVerify </w:t>
      </w:r>
      <w:r>
        <w:br/>
      </w:r>
      <w:r>
        <w:rPr>
          <w:rFonts w:ascii="Cambria" w:hAnsi="Cambria" w:eastAsia="Cambria"/>
          <w:b/>
          <w:i w:val="0"/>
          <w:color w:val="000000"/>
          <w:sz w:val="24"/>
        </w:rPr>
        <w:t>Holdings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0" w:history="1">
          <w:r>
            <w:rPr>
              <w:rStyle w:val="Hyperlink"/>
            </w:rPr>
            <w:t>is being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acquired by strategic buyer </w:t>
      </w:r>
      <w:r>
        <w:rPr>
          <w:rFonts w:ascii="Cambria" w:hAnsi="Cambria" w:eastAsia="Cambria"/>
          <w:b/>
          <w:i w:val="0"/>
          <w:color w:val="000000"/>
          <w:sz w:val="24"/>
        </w:rPr>
        <w:t>Nielsen Holdings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at an enterprise value of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about $2.15 billion, Josh Beckerman reports for the Journal. Providence first backed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New York company in 2017 and took it public in 2021, retaining shares that by earlier this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year amounted to about 18.2 million and represented a nearly 12% equity interest, 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regulatory filing shows. Nielsen is paying $13.60 a share. </w:t>
      </w:r>
    </w:p>
    <w:p>
      <w:pPr>
        <w:autoSpaceDN w:val="0"/>
        <w:autoSpaceDE w:val="0"/>
        <w:widowControl/>
        <w:spacing w:line="264" w:lineRule="auto" w:before="366" w:after="0"/>
        <w:ind w:left="1440" w:right="1728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Abry Partners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 Boston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1" w:history="1">
          <w:r>
            <w:rPr>
              <w:rStyle w:val="Hyperlink"/>
            </w:rPr>
            <w:t>is selling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its stake in wealth adviser </w:t>
      </w:r>
      <w:r>
        <w:rPr>
          <w:rFonts w:ascii="Cambria" w:hAnsi="Cambria" w:eastAsia="Cambria"/>
          <w:b/>
          <w:i w:val="0"/>
          <w:color w:val="000000"/>
          <w:sz w:val="24"/>
        </w:rPr>
        <w:t>Prime Capital Financial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with </w:t>
      </w:r>
      <w:r>
        <w:rPr>
          <w:rFonts w:ascii="Cambria" w:hAnsi="Cambria" w:eastAsia="Cambria"/>
          <w:b/>
          <w:i w:val="0"/>
          <w:color w:val="000000"/>
          <w:sz w:val="24"/>
        </w:rPr>
        <w:t>Carlyle Group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acquiring a minority interest in the Overland Park, Kan.-based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business. Abry first backed the company in 2023, according to the firm's website. </w:t>
      </w:r>
    </w:p>
    <w:p>
      <w:pPr>
        <w:autoSpaceDN w:val="0"/>
        <w:autoSpaceDE w:val="0"/>
        <w:widowControl/>
        <w:spacing w:line="240" w:lineRule="auto" w:before="92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67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Funds </w:t>
      </w:r>
    </w:p>
    <w:p>
      <w:pPr>
        <w:autoSpaceDN w:val="0"/>
        <w:autoSpaceDE w:val="0"/>
        <w:widowControl/>
        <w:spacing w:line="266" w:lineRule="auto" w:before="400" w:after="0"/>
        <w:ind w:left="1440" w:right="1296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Willow Tree Credit Partners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2" w:history="1">
          <w:r>
            <w:rPr>
              <w:rStyle w:val="Hyperlink"/>
            </w:rPr>
            <w:t>has wrapped up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multiasset continuation fund with about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$730 million in a deal led by </w:t>
      </w:r>
      <w:r>
        <w:rPr>
          <w:rFonts w:ascii="Cambria" w:hAnsi="Cambria" w:eastAsia="Cambria"/>
          <w:b/>
          <w:i w:val="0"/>
          <w:color w:val="000000"/>
          <w:sz w:val="24"/>
        </w:rPr>
        <w:t>HarbourVest Partners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 Boston. </w:t>
      </w:r>
      <w:r>
        <w:rPr>
          <w:rFonts w:ascii="Cambria" w:hAnsi="Cambria" w:eastAsia="Cambria"/>
          <w:b/>
          <w:i w:val="0"/>
          <w:color w:val="000000"/>
          <w:sz w:val="24"/>
        </w:rPr>
        <w:t>Willow Tree Fund II-</w:t>
      </w:r>
      <w:r>
        <w:rPr>
          <w:rFonts w:ascii="Cambria" w:hAnsi="Cambria" w:eastAsia="Cambria"/>
          <w:b/>
          <w:i w:val="0"/>
          <w:color w:val="000000"/>
          <w:sz w:val="24"/>
        </w:rPr>
        <w:t>CV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holds a bundle of about 130 securities consisting mainly of first-lien loans made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midmarket businesses in 2020 and 2021 through the New York firm's second flagship fund. </w:t>
      </w:r>
    </w:p>
    <w:p>
      <w:pPr>
        <w:autoSpaceDN w:val="0"/>
        <w:autoSpaceDE w:val="0"/>
        <w:widowControl/>
        <w:spacing w:line="269" w:lineRule="auto" w:before="36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Funds-of-funds sponsor </w:t>
      </w:r>
      <w:r>
        <w:rPr>
          <w:rFonts w:ascii="Cambria" w:hAnsi="Cambria" w:eastAsia="Cambria"/>
          <w:b/>
          <w:i w:val="0"/>
          <w:color w:val="000000"/>
          <w:sz w:val="24"/>
        </w:rPr>
        <w:t>Pathway Capital Management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3" w:history="1">
          <w:r>
            <w:rPr>
              <w:rStyle w:val="Hyperlink"/>
            </w:rPr>
            <w:t>has wrapped up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$235 million </w:t>
      </w:r>
      <w:r>
        <w:rPr>
          <w:rFonts w:ascii="Cambria" w:hAnsi="Cambria" w:eastAsia="Cambria"/>
          <w:b w:val="0"/>
          <w:i w:val="0"/>
          <w:color w:val="000000"/>
          <w:sz w:val="24"/>
        </w:rPr>
        <w:t>customized fund of funds for an Asia-based institutional investor.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4" w:history="1">
          <w:r>
            <w:rPr>
              <w:rStyle w:val="Hyperlink"/>
            </w:rPr>
            <w:t>Acquired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 June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by </w:t>
      </w:r>
      <w:r>
        <w:rPr>
          <w:rFonts w:ascii="Cambria" w:hAnsi="Cambria" w:eastAsia="Cambria"/>
          <w:b/>
          <w:i w:val="0"/>
          <w:color w:val="000000"/>
          <w:sz w:val="24"/>
        </w:rPr>
        <w:t>Clearlake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 Santa Monica, Calif., Pathway manages assets of about $95 billion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and aims to make primary fund commitments and co-investments focusing on smaller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midsize targets through the new fund. </w:t>
      </w:r>
    </w:p>
    <w:p>
      <w:pPr>
        <w:autoSpaceDN w:val="0"/>
        <w:autoSpaceDE w:val="0"/>
        <w:widowControl/>
        <w:spacing w:line="240" w:lineRule="auto" w:before="106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People </w:t>
      </w:r>
    </w:p>
    <w:p>
      <w:pPr>
        <w:autoSpaceDN w:val="0"/>
        <w:autoSpaceDE w:val="0"/>
        <w:widowControl/>
        <w:spacing w:line="264" w:lineRule="auto" w:before="400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Venture debt investor </w:t>
      </w:r>
      <w:r>
        <w:rPr>
          <w:rFonts w:ascii="Cambria" w:hAnsi="Cambria" w:eastAsia="Cambria"/>
          <w:b/>
          <w:i w:val="0"/>
          <w:color w:val="000000"/>
          <w:sz w:val="24"/>
        </w:rPr>
        <w:t>Runway Growth Capital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5" w:history="1">
          <w:r>
            <w:rPr>
              <w:rStyle w:val="Hyperlink"/>
            </w:rPr>
            <w:t>has hired</w:t>
          </w:r>
        </w:hyperlink>
      </w:r>
      <w:r>
        <w:rPr>
          <w:rFonts w:ascii="Cambria" w:hAnsi="Cambria" w:eastAsia="Cambria"/>
          <w:b/>
          <w:i w:val="0"/>
          <w:color w:val="000000"/>
          <w:sz w:val="24"/>
        </w:rPr>
        <w:t>Michael Rovner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as co-chief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executive and co-chief investment officer to work alongside firm founder David Spreng.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Rovner joins from </w:t>
      </w:r>
      <w:r>
        <w:rPr>
          <w:rFonts w:ascii="Cambria" w:hAnsi="Cambria" w:eastAsia="Cambria"/>
          <w:b/>
          <w:i w:val="0"/>
          <w:color w:val="000000"/>
          <w:sz w:val="24"/>
        </w:rPr>
        <w:t>BC Partners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where he was a managing director. </w:t>
      </w:r>
    </w:p>
    <w:p>
      <w:pPr>
        <w:autoSpaceDN w:val="0"/>
        <w:autoSpaceDE w:val="0"/>
        <w:widowControl/>
        <w:spacing w:line="269" w:lineRule="auto" w:before="366" w:after="0"/>
        <w:ind w:left="1440" w:right="144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Bain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's co-head of global private equity, </w:t>
      </w:r>
      <w:r>
        <w:rPr>
          <w:rFonts w:ascii="Cambria" w:hAnsi="Cambria" w:eastAsia="Cambria"/>
          <w:b/>
          <w:i w:val="0"/>
          <w:color w:val="000000"/>
          <w:sz w:val="24"/>
        </w:rPr>
        <w:t>Robin Marshall</w:t>
      </w:r>
      <w:r>
        <w:rPr>
          <w:rFonts w:ascii="Cambria" w:hAnsi="Cambria" w:eastAsia="Cambria"/>
          <w:b w:val="0"/>
          <w:i w:val="0"/>
          <w:color w:val="000000"/>
          <w:sz w:val="24"/>
        </w:rPr>
        <w:t>, is set to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6" w:history="1">
          <w:r>
            <w:rPr>
              <w:rStyle w:val="Hyperlink"/>
            </w:rPr>
            <w:t>step back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from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his current role, Sebastian McCarthy reports for sister publication Private Equity News in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London, citing people familiar with the situation. The London-based dealmaker and one of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most influential figures in European private equity plans to step down at the end of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year, moving to the role of senior adviser. </w:t>
      </w:r>
    </w:p>
    <w:p>
      <w:pPr>
        <w:autoSpaceDN w:val="0"/>
        <w:autoSpaceDE w:val="0"/>
        <w:widowControl/>
        <w:spacing w:line="264" w:lineRule="auto" w:before="362" w:after="0"/>
        <w:ind w:left="1440" w:right="1296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One Rock Capital Partners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 New York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7" w:history="1">
          <w:r>
            <w:rPr>
              <w:rStyle w:val="Hyperlink"/>
            </w:rPr>
            <w:t>has added</w:t>
          </w:r>
        </w:hyperlink>
      </w:r>
      <w:r>
        <w:rPr>
          <w:rFonts w:ascii="Cambria" w:hAnsi="Cambria" w:eastAsia="Cambria"/>
          <w:b/>
          <w:i w:val="0"/>
          <w:color w:val="000000"/>
          <w:sz w:val="24"/>
        </w:rPr>
        <w:t>Ross Bushnell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as an operating partner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focused on businesses in the chemicals and process industries. Most recently, he led paper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manufacturer </w:t>
      </w:r>
      <w:r>
        <w:rPr>
          <w:rFonts w:ascii="Cambria" w:hAnsi="Cambria" w:eastAsia="Cambria"/>
          <w:b/>
          <w:i w:val="0"/>
          <w:color w:val="000000"/>
          <w:sz w:val="24"/>
        </w:rPr>
        <w:t>Pixelle Specialty Solutions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</w:t>
      </w:r>
    </w:p>
    <w:p>
      <w:pPr>
        <w:autoSpaceDN w:val="0"/>
        <w:autoSpaceDE w:val="0"/>
        <w:widowControl/>
        <w:spacing w:line="264" w:lineRule="auto" w:before="366" w:after="0"/>
        <w:ind w:left="1440" w:right="1584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Great Hill Partners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48" w:history="1">
          <w:r>
            <w:rPr>
              <w:rStyle w:val="Hyperlink"/>
            </w:rPr>
            <w:t>announced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raft of promotions on its LinkedIn page, including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elevating </w:t>
      </w:r>
      <w:r>
        <w:rPr>
          <w:rFonts w:ascii="Cambria" w:hAnsi="Cambria" w:eastAsia="Cambria"/>
          <w:b/>
          <w:i w:val="0"/>
          <w:color w:val="000000"/>
          <w:sz w:val="24"/>
        </w:rPr>
        <w:t>Vinay Ramprasad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</w:t>
      </w:r>
      <w:r>
        <w:rPr>
          <w:rFonts w:ascii="Cambria" w:hAnsi="Cambria" w:eastAsia="Cambria"/>
          <w:b/>
          <w:i w:val="0"/>
          <w:color w:val="000000"/>
          <w:sz w:val="24"/>
        </w:rPr>
        <w:t>Douglas Wigley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to principal and </w:t>
      </w:r>
      <w:r>
        <w:rPr>
          <w:rFonts w:ascii="Cambria" w:hAnsi="Cambria" w:eastAsia="Cambria"/>
          <w:b/>
          <w:i w:val="0"/>
          <w:color w:val="000000"/>
          <w:sz w:val="24"/>
        </w:rPr>
        <w:t>Clay Campbell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to vice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president. </w:t>
      </w:r>
    </w:p>
    <w:p>
      <w:pPr>
        <w:autoSpaceDN w:val="0"/>
        <w:autoSpaceDE w:val="0"/>
        <w:widowControl/>
        <w:spacing w:line="240" w:lineRule="auto" w:before="1002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67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Industry News </w:t>
      </w:r>
    </w:p>
    <w:p>
      <w:pPr>
        <w:autoSpaceDN w:val="0"/>
        <w:autoSpaceDE w:val="0"/>
        <w:widowControl/>
        <w:spacing w:line="240" w:lineRule="auto" w:before="394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187950" cy="37719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3771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71" w:lineRule="auto" w:before="370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U.S. insurers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0" w:history="1">
          <w:r>
            <w:rPr>
              <w:rStyle w:val="Hyperlink"/>
            </w:rPr>
            <w:t>have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some $40 billion of debt investments on their books that have been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privately graded by </w:t>
      </w:r>
      <w:r>
        <w:rPr>
          <w:rFonts w:ascii="Cambria" w:hAnsi="Cambria" w:eastAsia="Cambria"/>
          <w:b/>
          <w:i w:val="0"/>
          <w:color w:val="000000"/>
          <w:sz w:val="24"/>
        </w:rPr>
        <w:t>Egan-Jones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according to a Wall Street Journal analysis of public data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concerning the company whose ratings have come under significant scrutiny from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regulators. Among the biggest holders are insurers controlled by </w:t>
      </w:r>
      <w:r>
        <w:rPr>
          <w:rFonts w:ascii="Cambria" w:hAnsi="Cambria" w:eastAsia="Cambria"/>
          <w:b/>
          <w:i w:val="0"/>
          <w:color w:val="000000"/>
          <w:sz w:val="24"/>
        </w:rPr>
        <w:t>Mark Walter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the chief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executive of </w:t>
      </w:r>
      <w:r>
        <w:rPr>
          <w:rFonts w:ascii="Cambria" w:hAnsi="Cambria" w:eastAsia="Cambria"/>
          <w:b/>
          <w:i w:val="0"/>
          <w:color w:val="000000"/>
          <w:sz w:val="24"/>
        </w:rPr>
        <w:t>Guggenheim Partners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who owns the </w:t>
      </w:r>
      <w:r>
        <w:rPr>
          <w:rFonts w:ascii="Cambria" w:hAnsi="Cambria" w:eastAsia="Cambria"/>
          <w:b/>
          <w:i w:val="0"/>
          <w:color w:val="000000"/>
          <w:sz w:val="24"/>
        </w:rPr>
        <w:t>Los Angeles Dodgers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. Egan-Jones rated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about $2.6 billion of loans held by Walter’s insurers, the analysis showed, including debt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issued by </w:t>
      </w:r>
      <w:r>
        <w:rPr>
          <w:rFonts w:ascii="Cambria" w:hAnsi="Cambria" w:eastAsia="Cambria"/>
          <w:b/>
          <w:i w:val="0"/>
          <w:color w:val="000000"/>
          <w:sz w:val="24"/>
        </w:rPr>
        <w:t>American Media Productions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a firm controlled by a Walter affiliate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>that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1" w:history="1">
          <w:r>
            <w:rPr>
              <w:rStyle w:val="Hyperlink"/>
            </w:rPr>
            <w:t>owns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Dodgers’ local TV broadcaster. </w:t>
      </w:r>
    </w:p>
    <w:p>
      <w:pPr>
        <w:autoSpaceDN w:val="0"/>
        <w:autoSpaceDE w:val="0"/>
        <w:widowControl/>
        <w:spacing w:line="269" w:lineRule="auto" w:before="366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>Hackers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2" w:history="1">
          <w:r>
            <w:rPr>
              <w:rStyle w:val="Hyperlink"/>
            </w:rPr>
            <w:t>targeted</w:t>
          </w:r>
        </w:hyperlink>
      </w:r>
      <w:r>
        <w:rPr>
          <w:rFonts w:ascii="Cambria" w:hAnsi="Cambria" w:eastAsia="Cambria"/>
          <w:b/>
          <w:i w:val="0"/>
          <w:color w:val="000000"/>
          <w:sz w:val="24"/>
        </w:rPr>
        <w:t>Blackstone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</w:t>
      </w:r>
      <w:r>
        <w:rPr>
          <w:rFonts w:ascii="Cambria" w:hAnsi="Cambria" w:eastAsia="Cambria"/>
          <w:b/>
          <w:i w:val="0"/>
          <w:color w:val="000000"/>
          <w:sz w:val="24"/>
        </w:rPr>
        <w:t>Apollo Global Management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</w:t>
      </w:r>
      <w:r>
        <w:rPr>
          <w:rFonts w:ascii="Cambria" w:hAnsi="Cambria" w:eastAsia="Cambria"/>
          <w:b/>
          <w:i w:val="0"/>
          <w:color w:val="000000"/>
          <w:sz w:val="24"/>
        </w:rPr>
        <w:t>Bain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>,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 KKR &amp; </w:t>
      </w:r>
      <w:r>
        <w:rPr>
          <w:rFonts w:ascii="Cambria" w:hAnsi="Cambria" w:eastAsia="Cambria"/>
          <w:b/>
          <w:i w:val="0"/>
          <w:color w:val="000000"/>
          <w:sz w:val="24"/>
        </w:rPr>
        <w:t>Co.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, </w:t>
      </w:r>
      <w:r>
        <w:rPr>
          <w:rFonts w:ascii="Cambria" w:hAnsi="Cambria" w:eastAsia="Cambria"/>
          <w:b/>
          <w:i w:val="0"/>
          <w:color w:val="000000"/>
          <w:sz w:val="24"/>
        </w:rPr>
        <w:t>TPG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and </w:t>
      </w:r>
      <w:r>
        <w:rPr>
          <w:rFonts w:ascii="Cambria" w:hAnsi="Cambria" w:eastAsia="Cambria"/>
          <w:b/>
          <w:i w:val="0"/>
          <w:color w:val="000000"/>
          <w:sz w:val="24"/>
        </w:rPr>
        <w:t>Clearlake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>,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as well as other businesses seeking ransom payments,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Reuters reported, citing an analysis of internet data. </w:t>
      </w:r>
      <w:r>
        <w:rPr>
          <w:rFonts w:ascii="Cambria" w:hAnsi="Cambria" w:eastAsia="Cambria"/>
          <w:b/>
          <w:i w:val="0"/>
          <w:color w:val="000000"/>
          <w:sz w:val="24"/>
        </w:rPr>
        <w:t>Google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said the hacking campaign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operates under a range of names, including Redact, Pink, Falcon and Helix. In some cases,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firms met their demands. </w:t>
      </w:r>
    </w:p>
    <w:p>
      <w:pPr>
        <w:autoSpaceDN w:val="0"/>
        <w:autoSpaceDE w:val="0"/>
        <w:widowControl/>
        <w:spacing w:line="240" w:lineRule="auto" w:before="786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71" w:lineRule="auto" w:before="97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>A federal judge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3" w:history="1">
          <w:r>
            <w:rPr>
              <w:rStyle w:val="Hyperlink"/>
            </w:rPr>
            <w:t>denied</w:t>
          </w:r>
        </w:hyperlink>
      </w:r>
      <w:r>
        <w:rPr>
          <w:rFonts w:ascii="Cambria" w:hAnsi="Cambria" w:eastAsia="Cambria"/>
          <w:b/>
          <w:i w:val="0"/>
          <w:color w:val="000000"/>
          <w:sz w:val="24"/>
        </w:rPr>
        <w:t>Cornell Capital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’s request to throw out a lawsuit alleging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private-equity firm improperly extracted money from </w:t>
      </w:r>
      <w:r>
        <w:rPr>
          <w:rFonts w:ascii="Cambria" w:hAnsi="Cambria" w:eastAsia="Cambria"/>
          <w:b/>
          <w:i w:val="0"/>
          <w:color w:val="000000"/>
          <w:sz w:val="24"/>
        </w:rPr>
        <w:t>Instant Brands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before the kitchen-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appliance company’s bankruptcy. U.S. District Judge Margaret Garnett on Aug. 5 ruled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lawsuit, brought by a bankruptcy trustee in 2024 on behalf of the company’s creditors,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could proceed. The suit alleges that New York-based Cornell, which manages about $5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billion, used false information to secure a $450 million loan for the </w:t>
      </w:r>
      <w:r>
        <w:rPr>
          <w:rFonts w:ascii="Cambria" w:hAnsi="Cambria" w:eastAsia="Cambria"/>
          <w:b/>
          <w:i w:val="0"/>
          <w:color w:val="000000"/>
          <w:sz w:val="24"/>
        </w:rPr>
        <w:t xml:space="preserve">Instant Pot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maker in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2021, in order to recoup some of its investment after acquiring the company for $615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million in 2019. Cornell has previously denied the claims and declined to comment Friday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on the judge’s decision to let the case proceed. </w:t>
      </w:r>
    </w:p>
    <w:p>
      <w:pPr>
        <w:autoSpaceDN w:val="0"/>
        <w:autoSpaceDE w:val="0"/>
        <w:widowControl/>
        <w:spacing w:line="271" w:lineRule="auto" w:before="368" w:after="0"/>
        <w:ind w:left="1440" w:right="1296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>StepStone Group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late Thursday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4" w:history="1">
          <w:r>
            <w:rPr>
              <w:rStyle w:val="Hyperlink"/>
            </w:rPr>
            <w:t>posted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30% jump in fee-related earnings to $105.6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million, driving a 24% gain in adjusted earnings to about $60.3 million, or 48 cents a share,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for its first fiscal 2027 quarter, which ended June 30, compared with the year-ago period.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New York firm's assets under management rose about 23% to $245.4 billion at the end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of June from a year ago. But the firm reported a wider net loss, rising to $115.8 million, or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$1.41 per share, for the just ended quarter, from a $38.4 million net loss, or 49 cents 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share, in the year earlier period. StepStone's Nasdaq-listed shares fell nearly 8.8% Friday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close at $46.41. </w:t>
      </w:r>
    </w:p>
    <w:p>
      <w:pPr>
        <w:autoSpaceDN w:val="0"/>
        <w:autoSpaceDE w:val="0"/>
        <w:widowControl/>
        <w:spacing w:line="240" w:lineRule="auto" w:before="1062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40"/>
        </w:rPr>
        <w:t xml:space="preserve">About Us </w:t>
      </w:r>
    </w:p>
    <w:p>
      <w:pPr>
        <w:autoSpaceDN w:val="0"/>
        <w:autoSpaceDE w:val="0"/>
        <w:widowControl/>
        <w:spacing w:line="240" w:lineRule="auto" w:before="398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Send us your tips, suggestions and feedback. Write to: </w:t>
      </w:r>
    </w:p>
    <w:p>
      <w:pPr>
        <w:autoSpaceDN w:val="0"/>
        <w:autoSpaceDE w:val="0"/>
        <w:widowControl/>
        <w:spacing w:line="259" w:lineRule="auto" w:before="362" w:after="0"/>
        <w:ind w:left="1440" w:right="2448" w:firstLine="0"/>
        <w:jc w:val="left"/>
      </w:pP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5" w:history="1">
          <w:r>
            <w:rPr>
              <w:rStyle w:val="Hyperlink"/>
            </w:rPr>
            <w:t>Maria Armental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55" w:history="1">
          <w:r>
            <w:rPr>
              <w:rStyle w:val="Hyperlink"/>
            </w:rPr>
            <w:t>;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6" w:history="1">
          <w:r>
            <w:rPr>
              <w:rStyle w:val="Hyperlink"/>
            </w:rPr>
            <w:t>Ted Bunker;</w:t>
          </w:r>
        </w:hyperlink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7" w:history="1">
          <w:r>
            <w:rPr>
              <w:rStyle w:val="Hyperlink"/>
            </w:rPr>
            <w:t>Chris Cumming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57" w:history="1">
          <w:r>
            <w:rPr>
              <w:rStyle w:val="Hyperlink"/>
            </w:rPr>
            <w:t>;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8" w:history="1">
          <w:r>
            <w:rPr>
              <w:rStyle w:val="Hyperlink"/>
            </w:rPr>
            <w:t>Luis Garcia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58" w:history="1">
          <w:r>
            <w:rPr>
              <w:rStyle w:val="Hyperlink"/>
            </w:rPr>
            <w:t>;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59" w:history="1">
          <w:r>
            <w:rPr>
              <w:rStyle w:val="Hyperlink"/>
            </w:rPr>
            <w:t>Laura Kreutzer;</w:t>
          </w:r>
        </w:hyperlink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60" w:history="1">
          <w:r>
            <w:rPr>
              <w:rStyle w:val="Hyperlink"/>
            </w:rPr>
            <w:t>Isaac</w:t>
          </w:r>
        </w:hyperlink>
      </w:r>
      <w:r>
        <w:rPr>
          <w:rFonts w:ascii="Cambria" w:hAnsi="Cambria" w:eastAsia="Cambria"/>
          <w:b w:val="0"/>
          <w:i w:val="0"/>
          <w:color w:val="0000FF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60" w:history="1">
          <w:r>
            <w:rPr>
              <w:rStyle w:val="Hyperlink"/>
            </w:rPr>
            <w:t>Taylor;</w:t>
          </w:r>
        </w:hyperlink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61" w:history="1">
          <w:r>
            <w:rPr>
              <w:rStyle w:val="Hyperlink"/>
            </w:rPr>
            <w:t>Chitra Vemuri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61" w:history="1">
          <w:r>
            <w:rPr>
              <w:rStyle w:val="Hyperlink"/>
            </w:rPr>
            <w:t>.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418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yperlink" Target="https://privateequity.createsend1.com/t/d-l-wvyhc-l-i/" TargetMode="External"/><Relationship Id="rId14" Type="http://schemas.openxmlformats.org/officeDocument/2006/relationships/hyperlink" Target="https://privateequity.createsend1.com/t/d-l-wvyhc-l-d/" TargetMode="External"/><Relationship Id="rId15" Type="http://schemas.openxmlformats.org/officeDocument/2006/relationships/hyperlink" Target="https://privateequity.createsend1.com/t/d-l-wvyhc-l-h/" TargetMode="External"/><Relationship Id="rId16" Type="http://schemas.openxmlformats.org/officeDocument/2006/relationships/hyperlink" Target="https://privateequity.createsend1.com/t/d-l-wvyhc-l-k/" TargetMode="External"/><Relationship Id="rId17" Type="http://schemas.openxmlformats.org/officeDocument/2006/relationships/hyperlink" Target="https://privateequity.createsend1.com/t/d-l-wvyhc-l-u/" TargetMode="External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hyperlink" Target="https://privateequity.createsend1.com/t/d-l-wvyhc-l-b/" TargetMode="External"/><Relationship Id="rId21" Type="http://schemas.openxmlformats.org/officeDocument/2006/relationships/hyperlink" Target="https://privateequity.createsend1.com/t/d-l-wvyhc-l-n/" TargetMode="External"/><Relationship Id="rId22" Type="http://schemas.openxmlformats.org/officeDocument/2006/relationships/hyperlink" Target="https://privateequity.createsend1.com/t/d-l-wvyhc-l-p/" TargetMode="External"/><Relationship Id="rId23" Type="http://schemas.openxmlformats.org/officeDocument/2006/relationships/hyperlink" Target="https://privateequity.createsend1.com/t/d-l-wvyhc-l-c/" TargetMode="External"/><Relationship Id="rId24" Type="http://schemas.openxmlformats.org/officeDocument/2006/relationships/hyperlink" Target="https://privateequity.createsend1.com/t/d-l-wvyhc-l-q/" TargetMode="External"/><Relationship Id="rId25" Type="http://schemas.openxmlformats.org/officeDocument/2006/relationships/hyperlink" Target="https://privateequity.createsend1.com/t/d-l-wvyhc-l-a/" TargetMode="External"/><Relationship Id="rId26" Type="http://schemas.openxmlformats.org/officeDocument/2006/relationships/hyperlink" Target="https://privateequity.createsend1.com/t/d-l-wvyhc-l-f/" TargetMode="External"/><Relationship Id="rId27" Type="http://schemas.openxmlformats.org/officeDocument/2006/relationships/hyperlink" Target="https://privateequity.createsend1.com/t/d-l-wvyhc-l-z/" TargetMode="External"/><Relationship Id="rId28" Type="http://schemas.openxmlformats.org/officeDocument/2006/relationships/hyperlink" Target="https://privateequity.createsend1.com/t/d-l-wvyhc-l-v/" TargetMode="External"/><Relationship Id="rId29" Type="http://schemas.openxmlformats.org/officeDocument/2006/relationships/hyperlink" Target="https://privateequity.createsend1.com/t/d-l-wvyhc-l-e/" TargetMode="External"/><Relationship Id="rId30" Type="http://schemas.openxmlformats.org/officeDocument/2006/relationships/hyperlink" Target="https://privateequity.createsend1.com/t/d-l-wvyhc-l-s/" TargetMode="External"/><Relationship Id="rId31" Type="http://schemas.openxmlformats.org/officeDocument/2006/relationships/hyperlink" Target="https://privateequity.createsend1.com/t/d-l-wvyhc-l-g/" TargetMode="External"/><Relationship Id="rId32" Type="http://schemas.openxmlformats.org/officeDocument/2006/relationships/hyperlink" Target="https://privateequity.createsend1.com/t/d-l-wvyhc-l-w/" TargetMode="External"/><Relationship Id="rId33" Type="http://schemas.openxmlformats.org/officeDocument/2006/relationships/hyperlink" Target="https://privateequity.createsend1.com/t/d-l-wvyhc-l-yd/" TargetMode="External"/><Relationship Id="rId34" Type="http://schemas.openxmlformats.org/officeDocument/2006/relationships/hyperlink" Target="https://privateequity.createsend1.com/t/d-l-wvyhc-l-yh/" TargetMode="External"/><Relationship Id="rId35" Type="http://schemas.openxmlformats.org/officeDocument/2006/relationships/hyperlink" Target="https://privateequity.createsend1.com/t/d-l-wvyhc-l-yk/" TargetMode="External"/><Relationship Id="rId36" Type="http://schemas.openxmlformats.org/officeDocument/2006/relationships/hyperlink" Target="https://privateequity.createsend1.com/t/d-l-wvyhc-l-yu/" TargetMode="External"/><Relationship Id="rId37" Type="http://schemas.openxmlformats.org/officeDocument/2006/relationships/hyperlink" Target="https://privateequity.createsend1.com/t/d-l-wvyhc-l-jl/" TargetMode="External"/><Relationship Id="rId38" Type="http://schemas.openxmlformats.org/officeDocument/2006/relationships/image" Target="media/image7.png"/><Relationship Id="rId39" Type="http://schemas.openxmlformats.org/officeDocument/2006/relationships/hyperlink" Target="https://privateequity.createsend1.com/t/d-l-wvyhc-l-jy/" TargetMode="External"/><Relationship Id="rId40" Type="http://schemas.openxmlformats.org/officeDocument/2006/relationships/hyperlink" Target="https://privateequity.createsend1.com/t/d-l-wvyhc-l-jj/" TargetMode="External"/><Relationship Id="rId41" Type="http://schemas.openxmlformats.org/officeDocument/2006/relationships/hyperlink" Target="https://privateequity.createsend1.com/t/d-l-wvyhc-l-jt/" TargetMode="External"/><Relationship Id="rId42" Type="http://schemas.openxmlformats.org/officeDocument/2006/relationships/hyperlink" Target="https://privateequity.createsend1.com/t/d-l-wvyhc-l-ji/" TargetMode="External"/><Relationship Id="rId43" Type="http://schemas.openxmlformats.org/officeDocument/2006/relationships/hyperlink" Target="https://privateequity.createsend1.com/t/d-l-wvyhc-l-jd/" TargetMode="External"/><Relationship Id="rId44" Type="http://schemas.openxmlformats.org/officeDocument/2006/relationships/hyperlink" Target="https://privateequity.createsend1.com/t/d-l-wvyhc-l-jh/" TargetMode="External"/><Relationship Id="rId45" Type="http://schemas.openxmlformats.org/officeDocument/2006/relationships/hyperlink" Target="https://privateequity.createsend1.com/t/d-l-wvyhc-l-jk/" TargetMode="External"/><Relationship Id="rId46" Type="http://schemas.openxmlformats.org/officeDocument/2006/relationships/hyperlink" Target="https://privateequity.createsend1.com/t/d-l-wvyhc-l-ju/" TargetMode="External"/><Relationship Id="rId47" Type="http://schemas.openxmlformats.org/officeDocument/2006/relationships/hyperlink" Target="https://privateequity.createsend1.com/t/d-l-wvyhc-l-tl/" TargetMode="External"/><Relationship Id="rId48" Type="http://schemas.openxmlformats.org/officeDocument/2006/relationships/hyperlink" Target="https://privateequity.createsend1.com/t/d-l-wvyhc-l-tr/" TargetMode="External"/><Relationship Id="rId49" Type="http://schemas.openxmlformats.org/officeDocument/2006/relationships/image" Target="media/image8.png"/><Relationship Id="rId50" Type="http://schemas.openxmlformats.org/officeDocument/2006/relationships/hyperlink" Target="https://privateequity.createsend1.com/t/d-l-wvyhc-l-tj/" TargetMode="External"/><Relationship Id="rId51" Type="http://schemas.openxmlformats.org/officeDocument/2006/relationships/hyperlink" Target="https://privateequity.createsend1.com/t/d-l-wvyhc-l-tt/" TargetMode="External"/><Relationship Id="rId52" Type="http://schemas.openxmlformats.org/officeDocument/2006/relationships/hyperlink" Target="https://privateequity.createsend1.com/t/d-l-wvyhc-l-ti/" TargetMode="External"/><Relationship Id="rId53" Type="http://schemas.openxmlformats.org/officeDocument/2006/relationships/hyperlink" Target="https://privateequity.createsend1.com/t/d-l-wvyhc-l-td/" TargetMode="External"/><Relationship Id="rId54" Type="http://schemas.openxmlformats.org/officeDocument/2006/relationships/hyperlink" Target="https://privateequity.createsend1.com/t/d-l-wvyhc-l-th/" TargetMode="External"/><Relationship Id="rId55" Type="http://schemas.openxmlformats.org/officeDocument/2006/relationships/hyperlink" Target="mailto:maria.armental@wsj.com" TargetMode="External"/><Relationship Id="rId56" Type="http://schemas.openxmlformats.org/officeDocument/2006/relationships/hyperlink" Target="mailto:ted.bunker@wsj.com" TargetMode="External"/><Relationship Id="rId57" Type="http://schemas.openxmlformats.org/officeDocument/2006/relationships/hyperlink" Target="mailto:chris.cumming@wsj.com" TargetMode="External"/><Relationship Id="rId58" Type="http://schemas.openxmlformats.org/officeDocument/2006/relationships/hyperlink" Target="mailto:luis.garcia@wsj.com" TargetMode="External"/><Relationship Id="rId59" Type="http://schemas.openxmlformats.org/officeDocument/2006/relationships/hyperlink" Target="mailto:laura.kreutzer@wsj.com" TargetMode="External"/><Relationship Id="rId60" Type="http://schemas.openxmlformats.org/officeDocument/2006/relationships/hyperlink" Target="mailto:Isaac.Taylor@wsj.com" TargetMode="External"/><Relationship Id="rId61" Type="http://schemas.openxmlformats.org/officeDocument/2006/relationships/hyperlink" Target="mailto:chitra.vemuri@wsj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