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40" w:lineRule="auto" w:before="974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371600" cy="12064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064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332" w:after="0"/>
        <w:ind w:left="1440" w:right="0" w:firstLine="0"/>
        <w:jc w:val="left"/>
      </w:pPr>
      <w:r>
        <w:drawing>
          <wp:inline xmlns:a="http://schemas.openxmlformats.org/drawingml/2006/main" xmlns:pic="http://schemas.openxmlformats.org/drawingml/2006/picture">
            <wp:extent cx="5506720" cy="169671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06720" cy="16967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N w:val="0"/>
        <w:autoSpaceDE w:val="0"/>
        <w:widowControl/>
        <w:spacing w:line="240" w:lineRule="auto" w:before="364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30"/>
        </w:rPr>
        <w:t xml:space="preserve">San Francisco-based TPG is deploying capital from two funds. </w:t>
      </w:r>
    </w:p>
    <w:p>
      <w:pPr>
        <w:autoSpaceDN w:val="0"/>
        <w:autoSpaceDE w:val="0"/>
        <w:widowControl/>
        <w:spacing w:line="240" w:lineRule="auto" w:before="376" w:after="0"/>
        <w:ind w:left="1440" w:right="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Michael Juliano – 9 hours ago </w:t>
      </w:r>
    </w:p>
    <w:p>
      <w:pPr>
        <w:autoSpaceDN w:val="0"/>
        <w:autoSpaceDE w:val="0"/>
        <w:widowControl/>
        <w:spacing w:line="264" w:lineRule="auto" w:before="366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1" w:history="1">
          <w:r>
            <w:rPr>
              <w:rStyle w:val="Hyperlink"/>
            </w:rPr>
            <w:t>TPG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has acquired a 53-building, shallow-bay industrial portfolio for $628 million through </w:t>
      </w:r>
      <w:r>
        <w:rPr>
          <w:rFonts w:ascii="Cambria" w:hAnsi="Cambria" w:eastAsia="Cambria"/>
          <w:b w:val="0"/>
          <w:i w:val="0"/>
          <w:color w:val="000000"/>
          <w:sz w:val="24"/>
        </w:rPr>
        <w:t>its TPG AG Real Estate platform in partnership with Redfearn Capital, the San Francisco-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based manager said. </w:t>
      </w:r>
    </w:p>
    <w:p>
      <w:pPr>
        <w:autoSpaceDN w:val="0"/>
        <w:autoSpaceDE w:val="0"/>
        <w:widowControl/>
        <w:spacing w:line="269" w:lineRule="auto" w:before="366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TPG is deploying capital for the portfolio, located across seven states, from value-add </w:t>
      </w:r>
      <w:r>
        <w:rPr>
          <w:rFonts w:ascii="Cambria" w:hAnsi="Cambria" w:eastAsia="Cambria"/>
          <w:b w:val="0"/>
          <w:i w:val="0"/>
          <w:color w:val="000000"/>
          <w:sz w:val="24"/>
        </w:rPr>
        <w:t>vehicles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2" w:history="1">
          <w:r>
            <w:rPr>
              <w:rStyle w:val="Hyperlink"/>
            </w:rPr>
            <w:t>AG Realty Value Fund XI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00"/>
          <w:sz w:val="24"/>
        </w:rPr>
        <w:t>and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3" w:history="1">
          <w:r>
            <w:rPr>
              <w:rStyle w:val="Hyperlink"/>
            </w:rPr>
            <w:t>AG Realty Value Fund XII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13" w:history="1">
          <w:r>
            <w:rPr>
              <w:rStyle w:val="Hyperlink"/>
            </w:rPr>
            <w:t>,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according to a source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familiar with the matter. Fund XI was launched in March 2022 and held a final close in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2024 at $2.65 billion, missing its $3.25 billion target, according to PEI Group data. Fund XII,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which has a $3 billion target, was launched in 2026. </w:t>
      </w:r>
    </w:p>
    <w:p>
      <w:pPr>
        <w:autoSpaceDN w:val="0"/>
        <w:autoSpaceDE w:val="0"/>
        <w:widowControl/>
        <w:spacing w:line="259" w:lineRule="auto" w:before="366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portfolio comprises approximately 5.4 million square feet and is located across Florida,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Georgia, North Carolina, Tennessee, Minnesota, Illinois and Oregon, TPG said. </w:t>
      </w:r>
    </w:p>
    <w:p>
      <w:pPr>
        <w:autoSpaceDN w:val="0"/>
        <w:autoSpaceDE w:val="0"/>
        <w:widowControl/>
        <w:spacing w:line="264" w:lineRule="auto" w:before="362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partnership, which also includes Atlanta Property Group and Matterhorn Venture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Partners, will jointly manage the portfolio which is 87 percent occupied. About 75 percent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of the assets are concentrated in the Southeast, TPG said. </w:t>
      </w:r>
    </w:p>
    <w:p>
      <w:pPr>
        <w:autoSpaceDN w:val="0"/>
        <w:autoSpaceDE w:val="0"/>
        <w:widowControl/>
        <w:spacing w:line="264" w:lineRule="auto" w:before="366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>TPG AG said it plans to create value for the portfolio, which consists primarily of shallow-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bay assets, through active asset management that includes targeted capital investment to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address deferred maintenance and improve tenant retention. </w:t>
      </w:r>
    </w:p>
    <w:p>
      <w:pPr>
        <w:autoSpaceDN w:val="0"/>
        <w:autoSpaceDE w:val="0"/>
        <w:widowControl/>
        <w:spacing w:line="240" w:lineRule="auto" w:before="66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pgSz w:w="12240" w:h="15840"/>
          <w:pgMar w:top="0" w:right="0" w:bottom="0" w:left="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66" w:lineRule="auto" w:before="978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Redfearn will manage assets in Tampa and Lakeland, Florida and Memphis, Tennessee,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while Atlanta Property Group will oversee properties In Atlanta, Raleigh/Durham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Charlotte, North Carolina. Matterhorn Venture Partners will manage assets in Chicago, TPG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said. </w:t>
      </w:r>
    </w:p>
    <w:p>
      <w:pPr>
        <w:autoSpaceDN w:val="0"/>
        <w:autoSpaceDE w:val="0"/>
        <w:widowControl/>
        <w:spacing w:line="264" w:lineRule="auto" w:before="368" w:after="0"/>
        <w:ind w:left="1440" w:right="1584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“This acquisition represents another significant milestone in our investment strategy and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reinforces our conviction in the long-term fundamentals of the US shallow bay industrial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sector,” said Chris Oka, TPG AG’s managing director, in a statement. </w:t>
      </w:r>
    </w:p>
    <w:p>
      <w:pPr>
        <w:autoSpaceDN w:val="0"/>
        <w:autoSpaceDE w:val="0"/>
        <w:widowControl/>
        <w:spacing w:line="259" w:lineRule="auto" w:before="364" w:after="0"/>
        <w:ind w:left="1440" w:right="1440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Eastdil Secured advised on the debt financing for the transaction, while Greenberg Traurig,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LLP represented the TPG-led consortium as its legal advisor. </w:t>
      </w:r>
    </w:p>
    <w:p>
      <w:pPr>
        <w:autoSpaceDN w:val="0"/>
        <w:autoSpaceDE w:val="0"/>
        <w:widowControl/>
        <w:spacing w:line="257" w:lineRule="auto" w:before="368" w:after="0"/>
        <w:ind w:left="1440" w:right="1296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TPG, which has $327 billion in assets under management, is ranked sixth in the most recent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PERE 100 list of the world’s largest private real estate managers. </w:t>
      </w:r>
    </w:p>
    <w:p>
      <w:pPr>
        <w:autoSpaceDN w:val="0"/>
        <w:autoSpaceDE w:val="0"/>
        <w:widowControl/>
        <w:spacing w:line="257" w:lineRule="auto" w:before="368" w:after="0"/>
        <w:ind w:left="1440" w:right="1728" w:firstLine="0"/>
        <w:jc w:val="left"/>
      </w:pP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The firm </w:t>
      </w:r>
      <w:r>
        <w:rPr>
          <w:rFonts w:ascii="Cambria" w:hAnsi="Cambria" w:eastAsia="Cambria"/>
          <w:b w:val="0"/>
          <w:i w:val="0"/>
          <w:color w:val="0000FF"/>
          <w:sz w:val="24"/>
          <w:u w:val="single"/>
        </w:rPr>
        <w:hyperlink r:id="rId15" w:history="1">
          <w:r>
            <w:rPr>
              <w:rStyle w:val="Hyperlink"/>
            </w:rPr>
            <w:t>launched Fund XII in June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hyperlink r:id="rId15" w:history="1">
          <w:r>
            <w:rPr>
              <w:rStyle w:val="Hyperlink"/>
            </w:rPr>
            <w:t>,</w:t>
          </w:r>
        </w:hyperlink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 marking the first vehicle in the series to be launched </w:t>
      </w:r>
      <w:r>
        <w:rPr>
          <w:rFonts w:ascii="Cambria" w:hAnsi="Cambria" w:eastAsia="Cambria"/>
          <w:b w:val="0"/>
          <w:i w:val="0"/>
          <w:color w:val="000000"/>
          <w:sz w:val="24"/>
        </w:rPr>
        <w:t xml:space="preserve">since the firm acquired Angelo Gordon in 2023. </w:t>
      </w:r>
    </w:p>
    <w:p>
      <w:pPr>
        <w:autoSpaceDN w:val="0"/>
        <w:autoSpaceDE w:val="0"/>
        <w:widowControl/>
        <w:spacing w:line="240" w:lineRule="auto" w:before="7686" w:after="0"/>
        <w:ind w:left="0" w:right="0" w:firstLine="0"/>
        <w:jc w:val="center"/>
      </w:pPr>
      <w:r>
        <w:drawing>
          <wp:inline xmlns:a="http://schemas.openxmlformats.org/drawingml/2006/main" xmlns:pic="http://schemas.openxmlformats.org/drawingml/2006/picture">
            <wp:extent cx="1563370" cy="61087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61087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0" w:right="0" w:bottom="0" w:left="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hyperlink" Target="https://www.pei-privaterealestate.com/database/institution-profile/id/institution98dcq/tpg/gp-fund-managed/" TargetMode="External"/><Relationship Id="rId12" Type="http://schemas.openxmlformats.org/officeDocument/2006/relationships/hyperlink" Target="https://www.pei-privaterealestate.com/database/fund-profile/id/fund9cit3/ag-realty-value-fund-xi/fund-overview/" TargetMode="External"/><Relationship Id="rId13" Type="http://schemas.openxmlformats.org/officeDocument/2006/relationships/hyperlink" Target="https://www.pei-privaterealestate.com/database/fund-profile/id/fund9vlwg/tpg-ag-realty-value-fund-xii/fund-overview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pei-privaterealestate.com/equity/tpg-angelo-gordon-adopts-top-down-approach-for-latest-flagship-fu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