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40" w:lineRule="auto" w:before="1002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3075940" cy="6578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6578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0" w:lineRule="auto" w:before="416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5877559" cy="440055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7559" cy="4400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5" w:lineRule="auto" w:before="418" w:after="0"/>
        <w:ind w:left="1440" w:right="1584" w:firstLine="0"/>
        <w:jc w:val="left"/>
      </w:pPr>
      <w:r>
        <w:rPr>
          <w:rFonts w:ascii="" w:hAnsi="" w:eastAsia=""/>
          <w:b w:val="0"/>
          <w:i w:val="0"/>
          <w:color w:val="000000"/>
          <w:sz w:val="24"/>
        </w:rPr>
        <w:t xml:space="preserve">TPG’s TPG AG U.S. Real Estate platform has acquired a 53-building industrial portfolio for </w:t>
      </w:r>
      <w:r>
        <w:rPr>
          <w:rFonts w:ascii="" w:hAnsi="" w:eastAsia=""/>
          <w:b w:val="0"/>
          <w:i w:val="0"/>
          <w:color w:val="000000"/>
          <w:sz w:val="24"/>
        </w:rPr>
        <w:t xml:space="preserve">$628 million in a transaction sourced and led by Redfearn Capital. </w:t>
      </w:r>
    </w:p>
    <w:p>
      <w:pPr>
        <w:autoSpaceDN w:val="0"/>
        <w:autoSpaceDE w:val="0"/>
        <w:widowControl/>
        <w:spacing w:line="264" w:lineRule="auto" w:before="408" w:after="0"/>
        <w:ind w:left="1440" w:right="1440" w:firstLine="0"/>
        <w:jc w:val="left"/>
      </w:pPr>
      <w:r>
        <w:rPr>
          <w:rFonts w:ascii="" w:hAnsi="" w:eastAsia=""/>
          <w:b w:val="0"/>
          <w:i w:val="0"/>
          <w:color w:val="000000"/>
          <w:sz w:val="24"/>
        </w:rPr>
        <w:t xml:space="preserve">The portfolio comprises approximately 5.4 million square feet of distribution, logistics and </w:t>
      </w:r>
      <w:r>
        <w:rPr>
          <w:rFonts w:ascii="" w:hAnsi="" w:eastAsia=""/>
          <w:b w:val="0"/>
          <w:i w:val="0"/>
          <w:color w:val="000000"/>
          <w:sz w:val="24"/>
        </w:rPr>
        <w:t xml:space="preserve">manufacturing facilities across Florida, Georgia, Illinois, Minnesota, North Carolina, Oregon </w:t>
      </w:r>
      <w:r>
        <w:rPr>
          <w:rFonts w:ascii="" w:hAnsi="" w:eastAsia=""/>
          <w:b w:val="0"/>
          <w:i w:val="0"/>
          <w:color w:val="000000"/>
          <w:sz w:val="24"/>
        </w:rPr>
        <w:t xml:space="preserve">and Tennessee. Approximately 75 percent of the assets are concentrated in the Southeast, </w:t>
      </w:r>
      <w:r>
        <w:rPr>
          <w:rFonts w:ascii="" w:hAnsi="" w:eastAsia=""/>
          <w:b w:val="0"/>
          <w:i w:val="0"/>
          <w:color w:val="000000"/>
          <w:sz w:val="24"/>
        </w:rPr>
        <w:t xml:space="preserve">with properties located in major industrial markets such as Atlanta; Charlotte, N.C.; </w:t>
      </w:r>
      <w:r>
        <w:rPr>
          <w:rFonts w:ascii="" w:hAnsi="" w:eastAsia=""/>
          <w:b w:val="0"/>
          <w:i w:val="0"/>
          <w:color w:val="000000"/>
          <w:sz w:val="24"/>
        </w:rPr>
        <w:t xml:space="preserve">Lakeland and Tampa, Fla.; and Raleigh, N.C. The portfolio is currently 87 percent occupied </w:t>
      </w:r>
      <w:r>
        <w:rPr>
          <w:rFonts w:ascii="" w:hAnsi="" w:eastAsia=""/>
          <w:b w:val="0"/>
          <w:i w:val="0"/>
          <w:color w:val="000000"/>
          <w:sz w:val="24"/>
        </w:rPr>
        <w:t xml:space="preserve">and benefits from a broad tenant base. </w:t>
      </w:r>
    </w:p>
    <w:p>
      <w:pPr>
        <w:autoSpaceDN w:val="0"/>
        <w:autoSpaceDE w:val="0"/>
        <w:widowControl/>
        <w:spacing w:line="252" w:lineRule="auto" w:before="408" w:after="0"/>
        <w:ind w:left="1440" w:right="1728" w:firstLine="0"/>
        <w:jc w:val="left"/>
      </w:pPr>
      <w:r>
        <w:rPr>
          <w:rFonts w:ascii="" w:hAnsi="" w:eastAsia=""/>
          <w:b w:val="0"/>
          <w:i w:val="0"/>
          <w:color w:val="000000"/>
          <w:sz w:val="24"/>
        </w:rPr>
        <w:t xml:space="preserve">TPG AG acquired the portfolio alongside operating partners Redfearn, Atlanta Property </w:t>
      </w:r>
      <w:r>
        <w:rPr>
          <w:rFonts w:ascii="" w:hAnsi="" w:eastAsia=""/>
          <w:b w:val="0"/>
          <w:i w:val="0"/>
          <w:color w:val="000000"/>
          <w:sz w:val="24"/>
        </w:rPr>
        <w:t xml:space="preserve">Group and Matterhorn Venture Partners, building on TPG AG’s existing partnership with </w:t>
      </w:r>
      <w:r>
        <w:rPr>
          <w:rFonts w:ascii="" w:hAnsi="" w:eastAsia=""/>
          <w:b w:val="0"/>
          <w:i w:val="0"/>
          <w:color w:val="000000"/>
          <w:sz w:val="24"/>
        </w:rPr>
        <w:t xml:space="preserve">each firm. The firms will jointly manage the Portfolio with each operating partner </w:t>
      </w:r>
    </w:p>
    <w:p>
      <w:pPr>
        <w:autoSpaceDN w:val="0"/>
        <w:autoSpaceDE w:val="0"/>
        <w:widowControl/>
        <w:spacing w:line="240" w:lineRule="auto" w:before="152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2100" cy="6096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09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2" w:lineRule="auto" w:before="1014" w:after="0"/>
        <w:ind w:left="1440" w:right="1296" w:firstLine="0"/>
        <w:jc w:val="left"/>
      </w:pPr>
      <w:r>
        <w:rPr>
          <w:rFonts w:ascii="" w:hAnsi="" w:eastAsia=""/>
          <w:b w:val="0"/>
          <w:i w:val="0"/>
          <w:color w:val="000000"/>
          <w:sz w:val="24"/>
        </w:rPr>
        <w:t xml:space="preserve">contributing deep local expertise in its respective market: Redfearn in Tampa, Lakeland and </w:t>
      </w:r>
      <w:r>
        <w:rPr>
          <w:rFonts w:ascii="" w:hAnsi="" w:eastAsia=""/>
          <w:b w:val="0"/>
          <w:i w:val="0"/>
          <w:color w:val="000000"/>
          <w:sz w:val="24"/>
        </w:rPr>
        <w:t xml:space="preserve">Memphis, Tenn.; Atlanta Property Group in Atlanta, Raleigh/Durham and Charlotte; and </w:t>
      </w:r>
      <w:r>
        <w:rPr>
          <w:rFonts w:ascii="" w:hAnsi="" w:eastAsia=""/>
          <w:b w:val="0"/>
          <w:i w:val="0"/>
          <w:color w:val="000000"/>
          <w:sz w:val="24"/>
        </w:rPr>
        <w:t xml:space="preserve">Matterhorn Venture Partners in Chicago. </w:t>
      </w:r>
    </w:p>
    <w:p>
      <w:pPr>
        <w:autoSpaceDN w:val="0"/>
        <w:autoSpaceDE w:val="0"/>
        <w:widowControl/>
        <w:spacing w:line="266" w:lineRule="auto" w:before="406" w:after="0"/>
        <w:ind w:left="1440" w:right="1296" w:firstLine="0"/>
        <w:jc w:val="left"/>
      </w:pPr>
      <w:r>
        <w:rPr>
          <w:rFonts w:ascii="" w:hAnsi="" w:eastAsia=""/>
          <w:b w:val="0"/>
          <w:i w:val="0"/>
          <w:color w:val="000000"/>
          <w:sz w:val="24"/>
        </w:rPr>
        <w:t xml:space="preserve">“This acquisition represents another significant milestone in our investment strategy and </w:t>
      </w:r>
      <w:r>
        <w:rPr>
          <w:rFonts w:ascii="" w:hAnsi="" w:eastAsia=""/>
          <w:b w:val="0"/>
          <w:i w:val="0"/>
          <w:color w:val="000000"/>
          <w:sz w:val="24"/>
        </w:rPr>
        <w:t xml:space="preserve">reinforces our conviction in the long-term fundamentals of the U.S. shallow bay industrial </w:t>
      </w:r>
      <w:r>
        <w:rPr>
          <w:rFonts w:ascii="" w:hAnsi="" w:eastAsia=""/>
          <w:b w:val="0"/>
          <w:i w:val="0"/>
          <w:color w:val="000000"/>
          <w:sz w:val="24"/>
        </w:rPr>
        <w:t xml:space="preserve">sector,” said Chris Oka, managing director, TPG AG. “We are pleased to continue our </w:t>
      </w:r>
      <w:r>
        <w:rPr>
          <w:rFonts w:ascii="" w:hAnsi="" w:eastAsia=""/>
          <w:b w:val="0"/>
          <w:i w:val="0"/>
          <w:color w:val="000000"/>
          <w:sz w:val="24"/>
        </w:rPr>
        <w:t xml:space="preserve">long-standing partnerships with operating partners Redfearn, Atlanta Property Group and </w:t>
      </w:r>
      <w:r>
        <w:rPr>
          <w:rFonts w:ascii="" w:hAnsi="" w:eastAsia=""/>
          <w:b w:val="0"/>
          <w:i w:val="0"/>
          <w:color w:val="000000"/>
          <w:sz w:val="24"/>
        </w:rPr>
        <w:t xml:space="preserve">Matterhorn Venture Partners to acquire and operate a portfolio of high-quality assets with </w:t>
      </w:r>
      <w:r>
        <w:rPr>
          <w:rFonts w:ascii="" w:hAnsi="" w:eastAsia=""/>
          <w:b w:val="0"/>
          <w:i w:val="0"/>
          <w:color w:val="000000"/>
          <w:sz w:val="24"/>
        </w:rPr>
        <w:t xml:space="preserve">strong occupancy, diversified tenancy and compelling opportunities to create value through </w:t>
      </w:r>
      <w:r>
        <w:rPr>
          <w:rFonts w:ascii="" w:hAnsi="" w:eastAsia=""/>
          <w:b w:val="0"/>
          <w:i w:val="0"/>
          <w:color w:val="000000"/>
          <w:sz w:val="24"/>
        </w:rPr>
        <w:t xml:space="preserve">active asset management. We look forward to supporting the portfolio’s continued growth.” </w:t>
      </w:r>
    </w:p>
    <w:p>
      <w:pPr>
        <w:autoSpaceDN w:val="0"/>
        <w:autoSpaceDE w:val="0"/>
        <w:widowControl/>
        <w:spacing w:line="252" w:lineRule="auto" w:before="408" w:after="0"/>
        <w:ind w:left="1440" w:right="1296" w:firstLine="0"/>
        <w:jc w:val="left"/>
      </w:pPr>
      <w:r>
        <w:rPr>
          <w:rFonts w:ascii="" w:hAnsi="" w:eastAsia=""/>
          <w:b w:val="0"/>
          <w:i w:val="0"/>
          <w:color w:val="000000"/>
          <w:sz w:val="24"/>
        </w:rPr>
        <w:t xml:space="preserve">The portfolio consists primarily of shallow-bay industrial assets in markets defined by high </w:t>
      </w:r>
      <w:r>
        <w:rPr>
          <w:rFonts w:ascii="" w:hAnsi="" w:eastAsia=""/>
          <w:b w:val="0"/>
          <w:i w:val="0"/>
          <w:color w:val="000000"/>
          <w:sz w:val="24"/>
        </w:rPr>
        <w:t xml:space="preserve">barriers to entry. TPG AG plans to create value through active asset management, including </w:t>
      </w:r>
      <w:r>
        <w:rPr>
          <w:rFonts w:ascii="" w:hAnsi="" w:eastAsia=""/>
          <w:b w:val="0"/>
          <w:i w:val="0"/>
          <w:color w:val="000000"/>
          <w:sz w:val="24"/>
        </w:rPr>
        <w:t xml:space="preserve">targeted capital investment to address deferred maintenance and improve tenant retention. </w:t>
      </w:r>
    </w:p>
    <w:p>
      <w:pPr>
        <w:autoSpaceDN w:val="0"/>
        <w:autoSpaceDE w:val="0"/>
        <w:widowControl/>
        <w:spacing w:line="245" w:lineRule="auto" w:before="408" w:after="0"/>
        <w:ind w:left="1440" w:right="2160" w:firstLine="0"/>
        <w:jc w:val="left"/>
      </w:pPr>
      <w:r>
        <w:rPr>
          <w:rFonts w:ascii="" w:hAnsi="" w:eastAsia=""/>
          <w:b w:val="0"/>
          <w:i w:val="0"/>
          <w:color w:val="000000"/>
          <w:sz w:val="24"/>
        </w:rPr>
        <w:t xml:space="preserve">Eastdil Secured advised on the debt financing for the transaction. Greenberg Traurig </w:t>
      </w:r>
      <w:r>
        <w:rPr>
          <w:rFonts w:ascii="" w:hAnsi="" w:eastAsia=""/>
          <w:b w:val="0"/>
          <w:i w:val="0"/>
          <w:color w:val="000000"/>
          <w:sz w:val="24"/>
        </w:rPr>
        <w:t xml:space="preserve">represented the TPG-led consortium as its legal adviser. </w:t>
      </w:r>
    </w:p>
    <w:p>
      <w:pPr>
        <w:autoSpaceDN w:val="0"/>
        <w:autoSpaceDE w:val="0"/>
        <w:widowControl/>
        <w:spacing w:line="240" w:lineRule="auto" w:before="732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2100" cy="609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096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