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autoSpaceDN w:val="0"/>
        <w:autoSpaceDE w:val="0"/>
        <w:widowControl/>
        <w:spacing w:line="240" w:lineRule="auto" w:before="974" w:after="0"/>
        <w:ind w:left="0" w:right="0" w:firstLine="0"/>
        <w:jc w:val="center"/>
      </w:pPr>
      <w:r>
        <w:drawing>
          <wp:inline xmlns:a="http://schemas.openxmlformats.org/drawingml/2006/main" xmlns:pic="http://schemas.openxmlformats.org/drawingml/2006/picture">
            <wp:extent cx="2019300" cy="4445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444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autoSpaceDN w:val="0"/>
        <w:autoSpaceDE w:val="0"/>
        <w:widowControl/>
        <w:spacing w:line="240" w:lineRule="auto" w:before="334" w:after="0"/>
        <w:ind w:left="1440" w:right="0" w:firstLine="0"/>
        <w:jc w:val="left"/>
      </w:pPr>
      <w:r>
        <w:drawing>
          <wp:inline xmlns:a="http://schemas.openxmlformats.org/drawingml/2006/main" xmlns:pic="http://schemas.openxmlformats.org/drawingml/2006/picture">
            <wp:extent cx="5359400" cy="17399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17399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autoSpaceDN w:val="0"/>
        <w:tabs>
          <w:tab w:pos="7202" w:val="left"/>
        </w:tabs>
        <w:autoSpaceDE w:val="0"/>
        <w:widowControl/>
        <w:spacing w:line="240" w:lineRule="auto" w:before="40" w:after="0"/>
        <w:ind w:left="1440" w:right="0" w:firstLine="0"/>
        <w:jc w:val="left"/>
      </w:pPr>
      <w:r>
        <w:rPr>
          <w:u w:val="single" w:color="7e7f7e"/>
          <w:rFonts w:ascii="Cambria" w:hAnsi="Cambria" w:eastAsia="Cambria"/>
          <w:b w:val="0"/>
          <w:i w:val="0"/>
          <w:color w:val="808080"/>
          <w:sz w:val="22"/>
        </w:rPr>
        <w:hyperlink r:id="rId11" w:history="1">
          <w:r>
            <w:rPr>
              <w:rStyle w:val="Hyperlink"/>
            </w:rPr>
            <w:t>By Livi Miller</w:t>
          </w:r>
        </w:hyperlink>
      </w:r>
      <w:r>
        <w:rPr>
          <w:rFonts w:ascii="Cambria" w:hAnsi="Cambria" w:eastAsia="Cambria"/>
          <w:b w:val="0"/>
          <w:i w:val="0"/>
          <w:color w:val="808080"/>
          <w:sz w:val="22"/>
        </w:rPr>
        <w:t xml:space="preserve"> </w:t>
      </w:r>
      <w:r>
        <w:tab/>
      </w:r>
      <w:r>
        <w:rPr>
          <w:rFonts w:ascii="Cambria" w:hAnsi="Cambria" w:eastAsia="Cambria"/>
          <w:b/>
          <w:i w:val="0"/>
          <w:color w:val="808080"/>
          <w:sz w:val="22"/>
        </w:rPr>
        <w:t>Published on August 09, 2026</w:t>
      </w:r>
    </w:p>
    <w:p>
      <w:pPr>
        <w:autoSpaceDN w:val="0"/>
        <w:autoSpaceDE w:val="0"/>
        <w:widowControl/>
        <w:spacing w:line="240" w:lineRule="auto" w:before="656" w:after="0"/>
        <w:ind w:left="1440" w:right="0" w:firstLine="0"/>
        <w:jc w:val="left"/>
      </w:pPr>
      <w:r>
        <w:drawing>
          <wp:inline xmlns:a="http://schemas.openxmlformats.org/drawingml/2006/main" xmlns:pic="http://schemas.openxmlformats.org/drawingml/2006/picture">
            <wp:extent cx="5143500" cy="299085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29908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autoSpaceDN w:val="0"/>
        <w:autoSpaceDE w:val="0"/>
        <w:widowControl/>
        <w:spacing w:line="269" w:lineRule="auto" w:before="338" w:after="0"/>
        <w:ind w:left="1440" w:right="1296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A Delray Beach-based real estate firm has closed its biggest deal yet, teaming up with global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investment giant TPG AG Real Estate to acquire a 53-building industrial portfolio spanning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seven states for $628 million. The purchase, backed by a $479 million loan, covers 5.4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million square feet of distribution, logistics and manufacturing space stretching from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Florida to Oregon. </w:t>
      </w:r>
    </w:p>
    <w:p>
      <w:pPr>
        <w:autoSpaceDN w:val="0"/>
        <w:autoSpaceDE w:val="0"/>
        <w:widowControl/>
        <w:spacing w:line="266" w:lineRule="auto" w:before="368" w:after="0"/>
        <w:ind w:left="1440" w:right="1296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Redfearn Capital, alongside TPG Redfearn, Atlanta Property Group and Matterhorn Venture </w:t>
      </w:r>
      <w:r>
        <w:rPr>
          <w:rFonts w:ascii="Cambria" w:hAnsi="Cambria" w:eastAsia="Cambria"/>
          <w:b w:val="0"/>
          <w:i w:val="0"/>
          <w:color w:val="000000"/>
          <w:sz w:val="24"/>
        </w:rPr>
        <w:t>Partners, bought the portfolio in a deal reported by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13" w:history="1">
          <w:r>
            <w:rPr>
              <w:rStyle w:val="Hyperlink"/>
            </w:rPr>
            <w:t>The Real Deal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hyperlink r:id="rId13" w:history="1">
          <w:r>
            <w:rPr>
              <w:rStyle w:val="Hyperlink"/>
            </w:rPr>
            <w:t>.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The portfolio spans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Florida, Georgia, North Carolina, Tennessee, Minnesota, Illinois and Oregon, with about 75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percent of the properties concentrated in the Southeast, including Lakeland, Tampa, </w:t>
      </w:r>
    </w:p>
    <w:p>
      <w:pPr>
        <w:autoSpaceDN w:val="0"/>
        <w:autoSpaceDE w:val="0"/>
        <w:widowControl/>
        <w:spacing w:line="240" w:lineRule="auto" w:before="172" w:after="0"/>
        <w:ind w:left="0" w:right="0" w:firstLine="0"/>
        <w:jc w:val="center"/>
      </w:pPr>
      <w:r>
        <w:drawing>
          <wp:inline xmlns:a="http://schemas.openxmlformats.org/drawingml/2006/main" xmlns:pic="http://schemas.openxmlformats.org/drawingml/2006/picture">
            <wp:extent cx="1563370" cy="61087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63370" cy="6108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2240" w:h="15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64" w:lineRule="auto" w:before="978" w:after="0"/>
        <w:ind w:left="1440" w:right="1872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Atlanta, Raleigh and Charlotte. Alex Redfearn, founder, president and CEO of Redfearn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Capital, said the deal reflects his company's commitment to markets with “long-term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demand.” </w:t>
      </w:r>
    </w:p>
    <w:p>
      <w:pPr>
        <w:autoSpaceDN w:val="0"/>
        <w:autoSpaceDE w:val="0"/>
        <w:widowControl/>
        <w:spacing w:line="271" w:lineRule="auto" w:before="362" w:after="0"/>
        <w:ind w:left="1440" w:right="1440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The financing behind the purchase came from merchant bank BDT &amp; MSD Partners, which </w:t>
      </w:r>
      <w:r>
        <w:rPr>
          <w:rFonts w:ascii="Cambria" w:hAnsi="Cambria" w:eastAsia="Cambria"/>
          <w:b w:val="0"/>
          <w:i w:val="0"/>
          <w:color w:val="000000"/>
          <w:sz w:val="24"/>
        </w:rPr>
        <w:t>committed $479 million in debt, according to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15" w:history="1">
          <w:r>
            <w:rPr>
              <w:rStyle w:val="Hyperlink"/>
            </w:rPr>
            <w:t>Commercial Observer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hyperlink r:id="rId15" w:history="1">
          <w:r>
            <w:rPr>
              <w:rStyle w:val="Hyperlink"/>
            </w:rPr>
            <w:t>.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BDT &amp; MSD Partners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was formed through the merger of BDT &amp; Company and MSD Partners, the outlet noted. A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TPG press release detailed how the three operating partners will split management duties: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Redfearn Capital is leading the transaction and overseeing Tampa, Lakeland and Memphis;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Atlanta Property Group will manage Atlanta, Raleigh/Durham and Charlotte; and </w:t>
      </w:r>
      <w:r>
        <w:br/>
      </w:r>
      <w:r>
        <w:rPr>
          <w:rFonts w:ascii="Cambria" w:hAnsi="Cambria" w:eastAsia="Cambria"/>
          <w:b w:val="0"/>
          <w:i w:val="0"/>
          <w:color w:val="000000"/>
          <w:sz w:val="24"/>
        </w:rPr>
        <w:t>Matterhorn Venture Partners will handle Chicago, according to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16" w:history="1">
          <w:r>
            <w:rPr>
              <w:rStyle w:val="Hyperlink"/>
            </w:rPr>
            <w:t>TPG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hyperlink r:id="rId16" w:history="1">
          <w:r>
            <w:rPr>
              <w:rStyle w:val="Hyperlink"/>
            </w:rPr>
            <w:t>.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</w:p>
    <w:p>
      <w:pPr>
        <w:autoSpaceDN w:val="0"/>
        <w:autoSpaceDE w:val="0"/>
        <w:widowControl/>
        <w:spacing w:line="240" w:lineRule="auto" w:before="360" w:after="0"/>
        <w:ind w:left="0" w:right="0" w:firstLine="0"/>
        <w:jc w:val="center"/>
      </w:pPr>
      <w:r>
        <w:rPr>
          <w:rFonts w:ascii="Cambria" w:hAnsi="Cambria" w:eastAsia="Cambria"/>
          <w:b/>
          <w:i w:val="0"/>
          <w:color w:val="000000"/>
          <w:sz w:val="30"/>
        </w:rPr>
        <w:t xml:space="preserve">A Shallow-Bay Bet in a Tightening Market </w:t>
      </w:r>
    </w:p>
    <w:p>
      <w:pPr>
        <w:autoSpaceDN w:val="0"/>
        <w:autoSpaceDE w:val="0"/>
        <w:widowControl/>
        <w:spacing w:line="271" w:lineRule="auto" w:before="376" w:after="0"/>
        <w:ind w:left="1440" w:right="1296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The portfolio primarily consists of shallow-bay warehouses, a property type that has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quietly outperformed bigger industrial formats for years. Cushman &amp; Wakefield's Q2 2026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MarketBeat report found that shallow-bay product nationally posted a 4.8 percent vacancy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rate — the lowest of any industrial size segment — while asking rents grew 2.9 percent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year-over-year, with positive rent growth in 67 percent of tracked markets. CBRE Research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has similarly found that shallow-bay vacancy rates have stayed below overall U.S. industrial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vacancy since 2017, a trend it attributes to stagnant new supply and steady demand from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last-mile and service occupiers who have historically been passed over by developers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favoring bigger single-tenant builds. </w:t>
      </w:r>
    </w:p>
    <w:p>
      <w:pPr>
        <w:autoSpaceDN w:val="0"/>
        <w:autoSpaceDE w:val="0"/>
        <w:widowControl/>
        <w:spacing w:line="271" w:lineRule="auto" w:before="362" w:after="0"/>
        <w:ind w:left="1440" w:right="1440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That structural imbalance helps explain why institutional capital keeps flowing into the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category. In June, Business Wire reported that BDT &amp; MSD Partners committed $250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million in strategic capital, plus $100 million from platform founders, to launch Speed Bay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Warehouse Solutions, a new platform dedicated to shallow-bay assets and led by former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Black Creek Group executives. Redfearn and TPG's newly acquired portfolio arrives amid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that same wave of institutional interest. </w:t>
      </w:r>
    </w:p>
    <w:p>
      <w:pPr>
        <w:autoSpaceDN w:val="0"/>
        <w:autoSpaceDE w:val="0"/>
        <w:widowControl/>
        <w:spacing w:line="240" w:lineRule="auto" w:before="360" w:after="0"/>
        <w:ind w:left="0" w:right="0" w:firstLine="0"/>
        <w:jc w:val="center"/>
      </w:pPr>
      <w:r>
        <w:rPr>
          <w:rFonts w:ascii="Cambria" w:hAnsi="Cambria" w:eastAsia="Cambria"/>
          <w:b/>
          <w:i w:val="0"/>
          <w:color w:val="000000"/>
          <w:sz w:val="30"/>
        </w:rPr>
        <w:t xml:space="preserve">Southeast Hubs and a Chicago Foothold </w:t>
      </w:r>
    </w:p>
    <w:p>
      <w:pPr>
        <w:autoSpaceDN w:val="0"/>
        <w:autoSpaceDE w:val="0"/>
        <w:widowControl/>
        <w:spacing w:line="269" w:lineRule="auto" w:before="382" w:after="0"/>
        <w:ind w:left="1440" w:right="1728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Lakeland and Tampa benefit from the Interstate 4 corridor, while Atlanta, Raleigh and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Charlotte serve as major regional distribution hubs tied together by extensive interstate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highway networks. Southeast markets in the portfolio attract industrial demand tied to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population growth, expanding manufacturing and logistics operations, and robust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transportation infrastructure, according to CBRE. </w:t>
      </w:r>
    </w:p>
    <w:p>
      <w:pPr>
        <w:autoSpaceDN w:val="0"/>
        <w:autoSpaceDE w:val="0"/>
        <w:widowControl/>
        <w:spacing w:line="240" w:lineRule="auto" w:before="724" w:after="0"/>
        <w:ind w:left="0" w:right="0" w:firstLine="0"/>
        <w:jc w:val="center"/>
      </w:pPr>
      <w:r>
        <w:drawing>
          <wp:inline xmlns:a="http://schemas.openxmlformats.org/drawingml/2006/main" xmlns:pic="http://schemas.openxmlformats.org/drawingml/2006/picture">
            <wp:extent cx="1563370" cy="61087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63370" cy="6108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2240" w:h="15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69" w:lineRule="auto" w:before="978" w:after="0"/>
        <w:ind w:left="1440" w:right="1440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The Chicago piece of the portfolio, managed by Matterhorn Venture Partners, sits in a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market with its own tight fundamentals. Industrial vacancy in Chicago compressed to 4.5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percent in the second quarter of 2026, supported by strong shallow-bay leasing and 5.8 </w:t>
      </w:r>
      <w:r>
        <w:rPr>
          <w:rFonts w:ascii="Cambria" w:hAnsi="Cambria" w:eastAsia="Cambria"/>
          <w:b w:val="0"/>
          <w:i w:val="0"/>
          <w:color w:val="000000"/>
          <w:sz w:val="24"/>
        </w:rPr>
        <w:t>million square feet of net absorption, according to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17" w:history="1">
          <w:r>
            <w:rPr>
              <w:rStyle w:val="Hyperlink"/>
            </w:rPr>
            <w:t>JLL Research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hyperlink r:id="rId17" w:history="1">
          <w:r>
            <w:rPr>
              <w:rStyle w:val="Hyperlink"/>
            </w:rPr>
            <w:t>.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Chicago industrial leasing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has surpassed 10 million square feet for a fourth consecutive quarter, the firm's research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shows. </w:t>
      </w:r>
    </w:p>
    <w:p>
      <w:pPr>
        <w:autoSpaceDN w:val="0"/>
        <w:autoSpaceDE w:val="0"/>
        <w:widowControl/>
        <w:spacing w:line="240" w:lineRule="auto" w:before="360" w:after="0"/>
        <w:ind w:left="0" w:right="0" w:firstLine="0"/>
        <w:jc w:val="center"/>
      </w:pPr>
      <w:r>
        <w:rPr>
          <w:rFonts w:ascii="Cambria" w:hAnsi="Cambria" w:eastAsia="Cambria"/>
          <w:b/>
          <w:i w:val="0"/>
          <w:color w:val="000000"/>
          <w:sz w:val="30"/>
        </w:rPr>
        <w:t xml:space="preserve">The South Florida Occupancy Puzzle </w:t>
      </w:r>
    </w:p>
    <w:p>
      <w:pPr>
        <w:autoSpaceDN w:val="0"/>
        <w:autoSpaceDE w:val="0"/>
        <w:widowControl/>
        <w:spacing w:line="266" w:lineRule="auto" w:before="458" w:after="0"/>
        <w:ind w:left="1440" w:right="1584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Overall, the portfolio is 87 percent occupied, and a Redfearn spokesperson said the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company will determine how long to hold the buildings based on market conditions, with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no significant renovations planned for any of the properties. TPG, for its part, plans to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invest in deferred building repairs and upgrades aimed at retaining existing tenants. </w:t>
      </w:r>
    </w:p>
    <w:p>
      <w:pPr>
        <w:autoSpaceDN w:val="0"/>
        <w:autoSpaceDE w:val="0"/>
        <w:widowControl/>
        <w:spacing w:line="271" w:lineRule="auto" w:before="366" w:after="0"/>
        <w:ind w:left="1440" w:right="1440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Lifting occupancy could prove trickiest in South Florida, where the industrial market has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cooled. The region's industrial vacancy rate rose to 6.7 percent in the second quarter, up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from 5.6 percent a year earlier, even as landlords continued raising rents. South Florida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tenants gave back more space than they leased for the fifth straight quarter, returning 2.3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million square feet to the market, though not every deal has gone sour — Ryder System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signed a 409,000-square-foot lease in Opa-locka even as developers scaled back new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construction, with 6.4 million square feet still under construction regionally. South Florida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industrial buildings have also continued to sell for higher prices on average, and Prologis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recently acquired an industrial portfolio in Davie for $352 million. </w:t>
      </w:r>
    </w:p>
    <w:p>
      <w:pPr>
        <w:autoSpaceDN w:val="0"/>
        <w:autoSpaceDE w:val="0"/>
        <w:widowControl/>
        <w:spacing w:line="240" w:lineRule="auto" w:before="360" w:after="0"/>
        <w:ind w:left="0" w:right="0" w:firstLine="0"/>
        <w:jc w:val="center"/>
      </w:pPr>
      <w:r>
        <w:rPr>
          <w:rFonts w:ascii="Cambria" w:hAnsi="Cambria" w:eastAsia="Cambria"/>
          <w:b/>
          <w:i w:val="0"/>
          <w:color w:val="000000"/>
          <w:sz w:val="30"/>
        </w:rPr>
        <w:t xml:space="preserve">A Deepening Partnership </w:t>
      </w:r>
    </w:p>
    <w:p>
      <w:pPr>
        <w:autoSpaceDN w:val="0"/>
        <w:autoSpaceDE w:val="0"/>
        <w:widowControl/>
        <w:spacing w:line="266" w:lineRule="auto" w:before="382" w:after="0"/>
        <w:ind w:left="1440" w:right="1584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The seller was DRA Advisors, according to a source familiar with the deal. Hoodline has </w:t>
      </w:r>
      <w:r>
        <w:rPr>
          <w:rFonts w:ascii="Cambria" w:hAnsi="Cambria" w:eastAsia="Cambria"/>
          <w:b w:val="0"/>
          <w:i w:val="0"/>
          <w:color w:val="000000"/>
          <w:sz w:val="24"/>
        </w:rPr>
        <w:t>previously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18" w:history="1">
          <w:r>
            <w:rPr>
              <w:rStyle w:val="Hyperlink"/>
            </w:rPr>
            <w:t>reported DRA's pivot toward multifamily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hyperlink r:id="rId18" w:history="1">
          <w:r>
            <w:rPr>
              <w:rStyle w:val="Hyperlink"/>
            </w:rPr>
            <w:t>,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including a $95 million apartment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acquisition in suburban Chicago, as the firm reallocates capital out of retail and industrial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holdings and toward suburban multifamily and selected retail deals. </w:t>
      </w:r>
    </w:p>
    <w:p>
      <w:pPr>
        <w:autoSpaceDN w:val="0"/>
        <w:autoSpaceDE w:val="0"/>
        <w:widowControl/>
        <w:spacing w:line="271" w:lineRule="auto" w:before="366" w:after="0"/>
        <w:ind w:left="1440" w:right="1440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Redfearn and TPG have worked together since 2021, and this acquisition marks the largest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deal the two have done together. It follows a pattern of scaling up: in February, </w:t>
      </w:r>
      <w:r>
        <w:br/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REBusinessOnline reported that Redfearn Capital and TPG Angelo Gordon closed a $150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million refinancing through Prospect Ridge for a 10-property Florida industrial portfolio,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backed by an initial $80 million mortgage arranged by CBRE's debt team. Redfearn Capital,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which operates out of Delray Beach and now has more than $1.2 billion in assets under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management, has also stayed active closer to home — Commercial Real Estate Direct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reported that the firm acquired an office and industrial asset in Delray Beach for $37 </w:t>
      </w:r>
      <w:r>
        <w:rPr>
          <w:rFonts w:ascii="Cambria" w:hAnsi="Cambria" w:eastAsia="Cambria"/>
          <w:b w:val="0"/>
          <w:i w:val="0"/>
          <w:color w:val="000000"/>
          <w:sz w:val="24"/>
        </w:rPr>
        <w:t>million, and Hoodline previously reported that Redfearn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19" w:history="1">
          <w:r>
            <w:rPr>
              <w:rStyle w:val="Hyperlink"/>
            </w:rPr>
            <w:t>sold a Jacksonville warehouse for</w:t>
          </w:r>
        </w:hyperlink>
      </w:r>
      <w:r>
        <w:rPr>
          <w:rFonts w:ascii="Cambria" w:hAnsi="Cambria" w:eastAsia="Cambria"/>
          <w:b w:val="0"/>
          <w:i w:val="0"/>
          <w:color w:val="0000FF"/>
          <w:sz w:val="24"/>
        </w:rPr>
        <w:t xml:space="preserve"> </w:t>
      </w:r>
    </w:p>
    <w:p>
      <w:pPr>
        <w:autoSpaceDN w:val="0"/>
        <w:autoSpaceDE w:val="0"/>
        <w:widowControl/>
        <w:spacing w:line="240" w:lineRule="auto" w:before="0" w:after="0"/>
        <w:ind w:left="0" w:right="0" w:firstLine="0"/>
        <w:jc w:val="center"/>
      </w:pPr>
      <w:r>
        <w:drawing>
          <wp:inline xmlns:a="http://schemas.openxmlformats.org/drawingml/2006/main" xmlns:pic="http://schemas.openxmlformats.org/drawingml/2006/picture">
            <wp:extent cx="1563370" cy="61087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63370" cy="6108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2240" w:h="15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57" w:lineRule="auto" w:before="978" w:after="0"/>
        <w:ind w:left="1440" w:right="1728" w:firstLine="0"/>
        <w:jc w:val="left"/>
      </w:pP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19" w:history="1">
          <w:r>
            <w:rPr>
              <w:rStyle w:val="Hyperlink"/>
            </w:rPr>
            <w:t>$37.39M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to G3 Enterprises, a nearly $10 million gain after buying the facility in 2024 for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$27.18 million and completing upgrades. </w:t>
      </w:r>
    </w:p>
    <w:p>
      <w:pPr>
        <w:autoSpaceDN w:val="0"/>
        <w:autoSpaceDE w:val="0"/>
        <w:widowControl/>
        <w:spacing w:line="269" w:lineRule="auto" w:before="366" w:after="0"/>
        <w:ind w:left="1440" w:right="1440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Redfearn's own broader holdings include 8 million square feet mainly in the Southeast,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while TPG manages $327 billion in assets globally. With the new acquisition, the two firms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are betting that shallow-bay logistics space — scarce to build and steadily in demand —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will keep paying off even as pockets of the market, like South Florida, work through a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temporary glut. </w:t>
      </w:r>
    </w:p>
    <w:p>
      <w:pPr>
        <w:autoSpaceDN w:val="0"/>
        <w:autoSpaceDE w:val="0"/>
        <w:widowControl/>
        <w:spacing w:line="240" w:lineRule="auto" w:before="10596" w:after="0"/>
        <w:ind w:left="0" w:right="0" w:firstLine="0"/>
        <w:jc w:val="center"/>
      </w:pPr>
      <w:r>
        <w:drawing>
          <wp:inline xmlns:a="http://schemas.openxmlformats.org/drawingml/2006/main" xmlns:pic="http://schemas.openxmlformats.org/drawingml/2006/picture">
            <wp:extent cx="1563370" cy="61087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63370" cy="61087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0" w:right="0" w:bottom="0" w:left="0" w:header="720" w:footer="720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hyperlink" Target="https://hoodline.com/author/olivia-miller/" TargetMode="External"/><Relationship Id="rId12" Type="http://schemas.openxmlformats.org/officeDocument/2006/relationships/image" Target="media/image3.png"/><Relationship Id="rId13" Type="http://schemas.openxmlformats.org/officeDocument/2006/relationships/hyperlink" Target="https://therealdeal.com/miami/2026/08/07/redfearn-tpg-pay-628-million-for-warehouse-portfolio/" TargetMode="External"/><Relationship Id="rId14" Type="http://schemas.openxmlformats.org/officeDocument/2006/relationships/image" Target="media/image4.png"/><Relationship Id="rId15" Type="http://schemas.openxmlformats.org/officeDocument/2006/relationships/hyperlink" Target="https://commercialobserver.com/2026/08/tpg-ag-redfearn-capital-industrial/" TargetMode="External"/><Relationship Id="rId16" Type="http://schemas.openxmlformats.org/officeDocument/2006/relationships/hyperlink" Target="https://www.tpg.com/news-and-insights/tpg-ag-real-estate-acquires-628m-industrial-portfolio-in-partnership-with-redfearn-capital" TargetMode="External"/><Relationship Id="rId17" Type="http://schemas.openxmlformats.org/officeDocument/2006/relationships/hyperlink" Target="https://www.jll.com/en-us/insights/market-dynamics/chicago-industrial" TargetMode="External"/><Relationship Id="rId18" Type="http://schemas.openxmlformats.org/officeDocument/2006/relationships/hyperlink" Target="https://hoodline.com/2026/05/nyc-investor-shells-out-95-million-for-plainfield-s-enclave-at-127th/" TargetMode="External"/><Relationship Id="rId19" Type="http://schemas.openxmlformats.org/officeDocument/2006/relationships/hyperlink" Target="https://hoodline.com/2026/07/california-logistics-player-drops-37-39m-on-south-jax-warehouse-scor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