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40" w:lineRule="auto" w:before="974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2910840" cy="69215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0840" cy="6921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40" w:lineRule="auto" w:before="366" w:after="0"/>
        <w:ind w:left="144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5664200" cy="21717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17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40" w:lineRule="auto" w:before="366" w:after="0"/>
        <w:ind w:left="144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5511800" cy="363854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36385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69" w:lineRule="auto" w:before="372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Redfearn Capital, a Delray Beach-based real estate investment firm, and global investment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company TPG have acquired an industrial property portfolio valued at $628 million from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DRA Advisors. The transaction adds 53 warehouses to the partnership’s holdings and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underscores continued investor interest in industrial real estate across South Florida and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other major markets. </w:t>
      </w:r>
    </w:p>
    <w:p>
      <w:pPr>
        <w:autoSpaceDN w:val="0"/>
        <w:autoSpaceDE w:val="0"/>
        <w:widowControl/>
        <w:spacing w:line="240" w:lineRule="auto" w:before="224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40" w:lineRule="auto" w:before="978" w:after="0"/>
        <w:ind w:left="1440" w:right="0" w:firstLine="0"/>
        <w:jc w:val="left"/>
      </w:pPr>
      <w:r>
        <w:rPr>
          <w:rFonts w:ascii="Cambria" w:hAnsi="Cambria" w:eastAsia="Cambria"/>
          <w:b/>
          <w:i w:val="0"/>
          <w:color w:val="000000"/>
          <w:sz w:val="24"/>
        </w:rPr>
        <w:t xml:space="preserve">Key takeaways </w:t>
      </w:r>
    </w:p>
    <w:p>
      <w:pPr>
        <w:autoSpaceDN w:val="0"/>
        <w:tabs>
          <w:tab w:pos="2162" w:val="left"/>
        </w:tabs>
        <w:autoSpaceDE w:val="0"/>
        <w:widowControl/>
        <w:spacing w:line="240" w:lineRule="auto" w:before="40" w:after="0"/>
        <w:ind w:left="180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•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Redfearn Capital and TPG completed the $628 million acquisition. </w:t>
      </w:r>
    </w:p>
    <w:p>
      <w:pPr>
        <w:autoSpaceDN w:val="0"/>
        <w:tabs>
          <w:tab w:pos="2162" w:val="left"/>
        </w:tabs>
        <w:autoSpaceDE w:val="0"/>
        <w:widowControl/>
        <w:spacing w:line="240" w:lineRule="auto" w:before="46" w:after="0"/>
        <w:ind w:left="180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•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portfolio includes 53 industrial warehouses. </w:t>
      </w:r>
    </w:p>
    <w:p>
      <w:pPr>
        <w:autoSpaceDN w:val="0"/>
        <w:tabs>
          <w:tab w:pos="2162" w:val="left"/>
        </w:tabs>
        <w:autoSpaceDE w:val="0"/>
        <w:widowControl/>
        <w:spacing w:line="240" w:lineRule="auto" w:before="40" w:after="0"/>
        <w:ind w:left="1800" w:right="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•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DRA Advisors was the seller. </w:t>
      </w:r>
    </w:p>
    <w:p>
      <w:pPr>
        <w:autoSpaceDN w:val="0"/>
        <w:tabs>
          <w:tab w:pos="2162" w:val="left"/>
        </w:tabs>
        <w:autoSpaceDE w:val="0"/>
        <w:widowControl/>
        <w:spacing w:line="259" w:lineRule="auto" w:before="40" w:after="0"/>
        <w:ind w:left="1800" w:right="2160" w:firstLine="0"/>
        <w:jc w:val="left"/>
      </w:pPr>
      <w:r>
        <w:rPr>
          <w:rFonts w:ascii="Symbol" w:hAnsi="Symbol" w:eastAsia="Symbol"/>
          <w:b w:val="0"/>
          <w:i w:val="0"/>
          <w:color w:val="000000"/>
          <w:sz w:val="20"/>
        </w:rPr>
        <w:t>•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deal expands the presence of a Palm Beach County firm in the industrial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property market. </w:t>
      </w:r>
    </w:p>
    <w:p>
      <w:pPr>
        <w:autoSpaceDN w:val="0"/>
        <w:autoSpaceDE w:val="0"/>
        <w:widowControl/>
        <w:spacing w:line="266" w:lineRule="auto" w:before="368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transaction represents a major expansion for Redfearn Capital, which is based in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Delray Beach. While financial and property-level details were not disclosed, the size of the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acquisition makes it one of the more significant recent deals involving a South Florida real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estate company. </w:t>
      </w:r>
    </w:p>
    <w:p>
      <w:pPr>
        <w:autoSpaceDN w:val="0"/>
        <w:autoSpaceDE w:val="0"/>
        <w:widowControl/>
        <w:spacing w:line="240" w:lineRule="auto" w:before="360" w:after="0"/>
        <w:ind w:left="1440" w:right="0" w:firstLine="0"/>
        <w:jc w:val="left"/>
      </w:pPr>
      <w:r>
        <w:rPr>
          <w:rFonts w:ascii="Cambria" w:hAnsi="Cambria" w:eastAsia="Cambria"/>
          <w:b/>
          <w:i w:val="0"/>
          <w:color w:val="000000"/>
          <w:sz w:val="30"/>
        </w:rPr>
        <w:t xml:space="preserve">A large-scale industrial acquisition </w:t>
      </w:r>
    </w:p>
    <w:p>
      <w:pPr>
        <w:autoSpaceDN w:val="0"/>
        <w:autoSpaceDE w:val="0"/>
        <w:widowControl/>
        <w:spacing w:line="269" w:lineRule="auto" w:before="376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portfolio’s 53 warehouses give the buyers a broad collection of industrial assets rather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than a single property. Industrial facilities can serve tenants involved in distribution,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logistics, manufacturing and storage, making them an important part of the commercial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real estate ecosystem. </w:t>
      </w:r>
    </w:p>
    <w:p>
      <w:pPr>
        <w:autoSpaceDN w:val="0"/>
        <w:autoSpaceDE w:val="0"/>
        <w:widowControl/>
        <w:spacing w:line="264" w:lineRule="auto" w:before="362" w:after="0"/>
        <w:ind w:left="1440" w:right="2016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acquisition also provides Redfearn Capital and TPG with exposure to a sizable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operating portfolio. The companies did not publicly disclose the locations, occupancy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levels, tenant roster or financing structure associated with the purchase. </w:t>
      </w:r>
    </w:p>
    <w:p>
      <w:pPr>
        <w:autoSpaceDN w:val="0"/>
        <w:autoSpaceDE w:val="0"/>
        <w:widowControl/>
        <w:spacing w:line="240" w:lineRule="auto" w:before="360" w:after="0"/>
        <w:ind w:left="1440" w:right="0" w:firstLine="0"/>
        <w:jc w:val="left"/>
      </w:pPr>
      <w:r>
        <w:rPr>
          <w:rFonts w:ascii="Cambria" w:hAnsi="Cambria" w:eastAsia="Cambria"/>
          <w:b/>
          <w:i w:val="0"/>
          <w:color w:val="000000"/>
          <w:sz w:val="30"/>
        </w:rPr>
        <w:t xml:space="preserve">Partnership between Redfearn and TPG </w:t>
      </w:r>
    </w:p>
    <w:p>
      <w:pPr>
        <w:autoSpaceDN w:val="0"/>
        <w:autoSpaceDE w:val="0"/>
        <w:widowControl/>
        <w:spacing w:line="266" w:lineRule="auto" w:before="382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deal brings together Redfearn Capital’s regional real estate experience and TPG’s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investment platform. Their partnership reflects the growing role of institutional capital in </w:t>
      </w:r>
      <w:r>
        <w:rPr>
          <w:rFonts w:ascii="Cambria" w:hAnsi="Cambria" w:eastAsia="Cambria"/>
          <w:b w:val="0"/>
          <w:i w:val="0"/>
          <w:color w:val="000000"/>
          <w:sz w:val="24"/>
        </w:rPr>
        <w:t>industrial real estate, where investors have continued to seek assets supported by supply-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chain activity and demand for warehouse space. </w:t>
      </w:r>
    </w:p>
    <w:p>
      <w:pPr>
        <w:autoSpaceDN w:val="0"/>
        <w:autoSpaceDE w:val="0"/>
        <w:widowControl/>
        <w:spacing w:line="266" w:lineRule="auto" w:before="366" w:after="0"/>
        <w:ind w:left="1440" w:right="1728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For Redfearn, the transaction increases the scale of its platform and may create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opportunities to manage, improve or reposition properties within the portfolio. The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company’s participation also highlights the ability of Palm Beach County-based firms to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compete for large commercial real estate investments. </w:t>
      </w:r>
    </w:p>
    <w:p>
      <w:pPr>
        <w:autoSpaceDN w:val="0"/>
        <w:autoSpaceDE w:val="0"/>
        <w:widowControl/>
        <w:spacing w:line="240" w:lineRule="auto" w:before="360" w:after="0"/>
        <w:ind w:left="1440" w:right="0" w:firstLine="0"/>
        <w:jc w:val="left"/>
      </w:pPr>
      <w:r>
        <w:rPr>
          <w:rFonts w:ascii="Cambria" w:hAnsi="Cambria" w:eastAsia="Cambria"/>
          <w:b/>
          <w:i w:val="0"/>
          <w:color w:val="000000"/>
          <w:sz w:val="30"/>
        </w:rPr>
        <w:t xml:space="preserve">DRA Advisors exits portfolio </w:t>
      </w:r>
    </w:p>
    <w:p>
      <w:pPr>
        <w:autoSpaceDN w:val="0"/>
        <w:autoSpaceDE w:val="0"/>
        <w:widowControl/>
        <w:spacing w:line="264" w:lineRule="auto" w:before="378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DRA Advisors, an investment manager focused on commercial real estate, was the seller.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transaction gives DRA an opportunity to realize value from the warehouse portfolio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while transferring ownership to a new investment partnership. </w:t>
      </w:r>
    </w:p>
    <w:p>
      <w:pPr>
        <w:autoSpaceDN w:val="0"/>
        <w:autoSpaceDE w:val="0"/>
        <w:widowControl/>
        <w:spacing w:line="240" w:lineRule="auto" w:before="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4" w:lineRule="auto" w:before="1298" w:after="0"/>
        <w:ind w:left="1440" w:right="1296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sale comes as industrial properties remain a closely watched segment of the real estate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market. Investors continue to evaluate warehouse assets based on factors such as tenant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demand, location, operating performance and broader economic conditions. </w:t>
      </w:r>
    </w:p>
    <w:p>
      <w:pPr>
        <w:autoSpaceDN w:val="0"/>
        <w:autoSpaceDE w:val="0"/>
        <w:widowControl/>
        <w:spacing w:line="240" w:lineRule="auto" w:before="360" w:after="0"/>
        <w:ind w:left="1440" w:right="0" w:firstLine="0"/>
        <w:jc w:val="left"/>
      </w:pPr>
      <w:r>
        <w:rPr>
          <w:rFonts w:ascii="Cambria" w:hAnsi="Cambria" w:eastAsia="Cambria"/>
          <w:b/>
          <w:i w:val="0"/>
          <w:color w:val="000000"/>
          <w:sz w:val="30"/>
        </w:rPr>
        <w:t xml:space="preserve">What the deal means for the market </w:t>
      </w:r>
    </w:p>
    <w:p>
      <w:pPr>
        <w:autoSpaceDN w:val="0"/>
        <w:autoSpaceDE w:val="0"/>
        <w:widowControl/>
        <w:spacing w:line="269" w:lineRule="auto" w:before="458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$628 million price tag signals continued institutional interest in large industrial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portfolios, even as commercial real estate investors remain selective. A transaction of this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size can influence valuations and encourage further activity among owners seeking to sell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or recapitalize warehouse assets. </w:t>
      </w:r>
    </w:p>
    <w:p>
      <w:pPr>
        <w:autoSpaceDN w:val="0"/>
        <w:autoSpaceDE w:val="0"/>
        <w:widowControl/>
        <w:spacing w:line="264" w:lineRule="auto" w:before="362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buyers’ next steps, including any planned renovations, leasing initiatives or additional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acquisitions, were not disclosed. For now, the purchase establishes Redfearn Capital and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TPG as the new owners of a substantial 53-property industrial portfolio. </w:t>
      </w:r>
    </w:p>
    <w:p>
      <w:pPr>
        <w:autoSpaceDN w:val="0"/>
        <w:autoSpaceDE w:val="0"/>
        <w:widowControl/>
        <w:spacing w:line="240" w:lineRule="auto" w:before="8170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0" w:right="0" w:bottom="0" w:left="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